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DC72" w14:textId="77777777" w:rsidR="00D644CF" w:rsidRDefault="00D644CF" w:rsidP="00C16E9F">
      <w:pPr>
        <w:rPr>
          <w:b/>
          <w:lang w:val="en-GB"/>
        </w:rPr>
      </w:pPr>
      <w:bookmarkStart w:id="0" w:name="_GoBack"/>
      <w:bookmarkEnd w:id="0"/>
    </w:p>
    <w:p w14:paraId="54FEF2DB" w14:textId="77777777" w:rsidR="00D644CF" w:rsidRDefault="00D644CF" w:rsidP="00C16E9F">
      <w:pPr>
        <w:rPr>
          <w:b/>
          <w:lang w:val="en-GB"/>
        </w:rPr>
      </w:pPr>
    </w:p>
    <w:p w14:paraId="53B7958C" w14:textId="77777777" w:rsidR="00D644CF" w:rsidRDefault="00D644CF" w:rsidP="00C16E9F">
      <w:pPr>
        <w:rPr>
          <w:b/>
          <w:lang w:val="en-GB"/>
        </w:rPr>
      </w:pPr>
    </w:p>
    <w:p w14:paraId="44F0FB78" w14:textId="77777777" w:rsidR="00D644CF" w:rsidRDefault="00D644CF" w:rsidP="00C16E9F">
      <w:pPr>
        <w:rPr>
          <w:b/>
          <w:lang w:val="en-GB"/>
        </w:rPr>
      </w:pPr>
    </w:p>
    <w:p w14:paraId="6BEBFBBD" w14:textId="77777777" w:rsidR="00D644CF" w:rsidRDefault="00D644CF" w:rsidP="00C16E9F">
      <w:pPr>
        <w:rPr>
          <w:b/>
          <w:lang w:val="en-GB"/>
        </w:rPr>
      </w:pPr>
    </w:p>
    <w:p w14:paraId="572576FF" w14:textId="77777777" w:rsidR="00D644CF" w:rsidRDefault="00D644CF" w:rsidP="00C16E9F">
      <w:pPr>
        <w:rPr>
          <w:b/>
          <w:lang w:val="en-GB"/>
        </w:rPr>
      </w:pPr>
    </w:p>
    <w:p w14:paraId="5352FFB5" w14:textId="77777777" w:rsidR="00D644CF" w:rsidRDefault="00D644CF" w:rsidP="00C16E9F">
      <w:pPr>
        <w:rPr>
          <w:b/>
          <w:lang w:val="en-GB"/>
        </w:rPr>
      </w:pPr>
    </w:p>
    <w:p w14:paraId="3228B240" w14:textId="77777777" w:rsidR="00D644CF" w:rsidRDefault="00D644CF" w:rsidP="00C16E9F">
      <w:pPr>
        <w:rPr>
          <w:b/>
          <w:lang w:val="en-GB"/>
        </w:rPr>
      </w:pPr>
    </w:p>
    <w:p w14:paraId="495BF53F" w14:textId="77777777" w:rsidR="00D644CF" w:rsidRDefault="00D644CF" w:rsidP="00D644CF">
      <w:pPr>
        <w:spacing w:before="14"/>
        <w:ind w:left="100" w:right="316"/>
        <w:rPr>
          <w:rFonts w:eastAsia="Arial" w:cs="Arial"/>
          <w:b/>
          <w:bCs/>
          <w:spacing w:val="-1"/>
          <w:sz w:val="36"/>
          <w:szCs w:val="36"/>
        </w:rPr>
      </w:pPr>
    </w:p>
    <w:p w14:paraId="67DC5683" w14:textId="77777777" w:rsidR="00D644CF" w:rsidRDefault="00D644CF" w:rsidP="00D644CF">
      <w:pPr>
        <w:spacing w:before="14"/>
        <w:ind w:left="100" w:right="316"/>
        <w:rPr>
          <w:rFonts w:eastAsia="Arial" w:cs="Arial"/>
          <w:b/>
          <w:bCs/>
          <w:spacing w:val="-1"/>
          <w:sz w:val="36"/>
          <w:szCs w:val="36"/>
        </w:rPr>
      </w:pPr>
    </w:p>
    <w:p w14:paraId="0AEFDD9F" w14:textId="77777777" w:rsidR="00D644CF" w:rsidRDefault="00D644CF" w:rsidP="00D644CF">
      <w:pPr>
        <w:spacing w:before="14"/>
        <w:ind w:left="100" w:right="316"/>
        <w:rPr>
          <w:rFonts w:eastAsia="Arial" w:cs="Arial"/>
          <w:b/>
          <w:bCs/>
          <w:spacing w:val="-1"/>
          <w:sz w:val="36"/>
          <w:szCs w:val="36"/>
        </w:rPr>
      </w:pPr>
    </w:p>
    <w:p w14:paraId="5392848C" w14:textId="57189372" w:rsidR="00D644CF" w:rsidRPr="00D644CF" w:rsidRDefault="00D644CF" w:rsidP="00D644CF">
      <w:pPr>
        <w:spacing w:before="100" w:beforeAutospacing="1"/>
        <w:rPr>
          <w:rFonts w:eastAsia="Arial" w:cs="Times New Roman"/>
          <w:b/>
          <w:bCs/>
          <w:spacing w:val="-1"/>
          <w:sz w:val="36"/>
          <w:szCs w:val="36"/>
        </w:rPr>
      </w:pPr>
      <w:r w:rsidRPr="00D644CF">
        <w:rPr>
          <w:rFonts w:eastAsia="Arial" w:cs="Times New Roman"/>
          <w:b/>
          <w:bCs/>
          <w:spacing w:val="-1"/>
          <w:sz w:val="36"/>
          <w:szCs w:val="36"/>
        </w:rPr>
        <w:t xml:space="preserve">Implementation of UPR recommendations received and accepted by the Russian Federation during the second UPR cycle, as relevant to the fast growing HIV epidemic combined with multidrug-resistant </w:t>
      </w:r>
      <w:r>
        <w:rPr>
          <w:rFonts w:eastAsia="Arial" w:cs="Times New Roman"/>
          <w:b/>
          <w:bCs/>
          <w:spacing w:val="-1"/>
          <w:sz w:val="36"/>
          <w:szCs w:val="36"/>
        </w:rPr>
        <w:t>tuberculosis</w:t>
      </w:r>
    </w:p>
    <w:p w14:paraId="0997C440" w14:textId="77777777" w:rsidR="00D644CF" w:rsidRPr="00D644CF" w:rsidRDefault="00D644CF" w:rsidP="00D644CF">
      <w:pPr>
        <w:spacing w:before="100" w:beforeAutospacing="1"/>
        <w:rPr>
          <w:rFonts w:eastAsia="Times New Roman" w:cs="Times New Roman"/>
          <w:sz w:val="36"/>
          <w:szCs w:val="36"/>
        </w:rPr>
      </w:pPr>
    </w:p>
    <w:p w14:paraId="20EB194F" w14:textId="01F7243F" w:rsidR="00F07F2A" w:rsidRDefault="00D644CF" w:rsidP="00D644CF">
      <w:pPr>
        <w:ind w:left="100" w:right="-20"/>
        <w:rPr>
          <w:rFonts w:eastAsia="Arial" w:cs="Times New Roman"/>
          <w:spacing w:val="1"/>
          <w:sz w:val="36"/>
          <w:szCs w:val="36"/>
        </w:rPr>
      </w:pPr>
      <w:r w:rsidRPr="00D644CF">
        <w:rPr>
          <w:rFonts w:eastAsia="Arial" w:cs="Times New Roman"/>
          <w:spacing w:val="1"/>
          <w:sz w:val="36"/>
          <w:szCs w:val="36"/>
        </w:rPr>
        <w:t>S</w:t>
      </w:r>
      <w:r w:rsidRPr="00D644CF">
        <w:rPr>
          <w:rFonts w:eastAsia="Arial" w:cs="Times New Roman"/>
          <w:sz w:val="36"/>
          <w:szCs w:val="36"/>
        </w:rPr>
        <w:t>ubm</w:t>
      </w:r>
      <w:r w:rsidRPr="00D644CF">
        <w:rPr>
          <w:rFonts w:eastAsia="Arial" w:cs="Times New Roman"/>
          <w:spacing w:val="1"/>
          <w:sz w:val="36"/>
          <w:szCs w:val="36"/>
        </w:rPr>
        <w:t>issi</w:t>
      </w:r>
      <w:r w:rsidRPr="00D644CF">
        <w:rPr>
          <w:rFonts w:eastAsia="Arial" w:cs="Times New Roman"/>
          <w:sz w:val="36"/>
          <w:szCs w:val="36"/>
        </w:rPr>
        <w:t>on</w:t>
      </w:r>
      <w:r w:rsidRPr="00D644CF">
        <w:rPr>
          <w:rFonts w:eastAsia="Arial" w:cs="Times New Roman"/>
          <w:spacing w:val="-17"/>
          <w:sz w:val="36"/>
          <w:szCs w:val="36"/>
        </w:rPr>
        <w:t xml:space="preserve"> </w:t>
      </w:r>
      <w:r w:rsidRPr="00D644CF">
        <w:rPr>
          <w:rFonts w:eastAsia="Arial" w:cs="Times New Roman"/>
          <w:sz w:val="36"/>
          <w:szCs w:val="36"/>
        </w:rPr>
        <w:t>to</w:t>
      </w:r>
      <w:r w:rsidRPr="00D644CF">
        <w:rPr>
          <w:rFonts w:eastAsia="Arial" w:cs="Times New Roman"/>
          <w:spacing w:val="-3"/>
          <w:sz w:val="36"/>
          <w:szCs w:val="36"/>
        </w:rPr>
        <w:t xml:space="preserve"> </w:t>
      </w:r>
      <w:r w:rsidRPr="00D644CF">
        <w:rPr>
          <w:rFonts w:eastAsia="Arial" w:cs="Times New Roman"/>
          <w:sz w:val="36"/>
          <w:szCs w:val="36"/>
        </w:rPr>
        <w:t>the</w:t>
      </w:r>
      <w:r w:rsidRPr="00D644CF">
        <w:rPr>
          <w:rFonts w:eastAsia="Arial" w:cs="Times New Roman"/>
          <w:spacing w:val="-4"/>
          <w:sz w:val="36"/>
          <w:szCs w:val="36"/>
        </w:rPr>
        <w:t xml:space="preserve"> </w:t>
      </w:r>
      <w:r w:rsidRPr="00D644CF">
        <w:rPr>
          <w:rFonts w:eastAsia="Arial" w:cs="Times New Roman"/>
          <w:sz w:val="36"/>
          <w:szCs w:val="36"/>
        </w:rPr>
        <w:t>Un</w:t>
      </w:r>
      <w:r w:rsidRPr="00D644CF">
        <w:rPr>
          <w:rFonts w:eastAsia="Arial" w:cs="Times New Roman"/>
          <w:spacing w:val="1"/>
          <w:sz w:val="36"/>
          <w:szCs w:val="36"/>
        </w:rPr>
        <w:t>i</w:t>
      </w:r>
      <w:r w:rsidRPr="00D644CF">
        <w:rPr>
          <w:rFonts w:eastAsia="Arial" w:cs="Times New Roman"/>
          <w:sz w:val="36"/>
          <w:szCs w:val="36"/>
        </w:rPr>
        <w:t>ted</w:t>
      </w:r>
      <w:r w:rsidRPr="00D644CF">
        <w:rPr>
          <w:rFonts w:eastAsia="Arial" w:cs="Times New Roman"/>
          <w:spacing w:val="-9"/>
          <w:sz w:val="36"/>
          <w:szCs w:val="36"/>
        </w:rPr>
        <w:t xml:space="preserve"> </w:t>
      </w:r>
      <w:r w:rsidRPr="00D644CF">
        <w:rPr>
          <w:rFonts w:eastAsia="Arial" w:cs="Times New Roman"/>
          <w:sz w:val="36"/>
          <w:szCs w:val="36"/>
        </w:rPr>
        <w:t>Nat</w:t>
      </w:r>
      <w:r w:rsidRPr="00D644CF">
        <w:rPr>
          <w:rFonts w:eastAsia="Arial" w:cs="Times New Roman"/>
          <w:spacing w:val="1"/>
          <w:sz w:val="36"/>
          <w:szCs w:val="36"/>
        </w:rPr>
        <w:t>i</w:t>
      </w:r>
      <w:r w:rsidRPr="00D644CF">
        <w:rPr>
          <w:rFonts w:eastAsia="Arial" w:cs="Times New Roman"/>
          <w:sz w:val="36"/>
          <w:szCs w:val="36"/>
        </w:rPr>
        <w:t>ons</w:t>
      </w:r>
      <w:r w:rsidRPr="00D644CF">
        <w:rPr>
          <w:rFonts w:eastAsia="Arial" w:cs="Times New Roman"/>
          <w:spacing w:val="-7"/>
          <w:sz w:val="36"/>
          <w:szCs w:val="36"/>
        </w:rPr>
        <w:t xml:space="preserve"> </w:t>
      </w:r>
      <w:r w:rsidRPr="00D644CF">
        <w:rPr>
          <w:rFonts w:eastAsia="Arial" w:cs="Times New Roman"/>
          <w:sz w:val="36"/>
          <w:szCs w:val="36"/>
        </w:rPr>
        <w:t>Human Rights Council</w:t>
      </w:r>
      <w:r w:rsidRPr="00D644CF">
        <w:rPr>
          <w:rFonts w:eastAsia="Arial" w:cs="Times New Roman"/>
          <w:spacing w:val="1"/>
          <w:sz w:val="36"/>
          <w:szCs w:val="36"/>
        </w:rPr>
        <w:t xml:space="preserve"> Universa</w:t>
      </w:r>
      <w:r w:rsidR="00F07F2A">
        <w:rPr>
          <w:rFonts w:eastAsia="Arial" w:cs="Times New Roman"/>
          <w:spacing w:val="1"/>
          <w:sz w:val="36"/>
          <w:szCs w:val="36"/>
        </w:rPr>
        <w:t>l Periodic Review Working Group</w:t>
      </w:r>
      <w:r w:rsidRPr="00D644CF">
        <w:rPr>
          <w:rFonts w:eastAsia="Arial" w:cs="Times New Roman"/>
          <w:spacing w:val="1"/>
          <w:sz w:val="36"/>
          <w:szCs w:val="36"/>
        </w:rPr>
        <w:t xml:space="preserve"> </w:t>
      </w:r>
    </w:p>
    <w:p w14:paraId="01363D16" w14:textId="77777777" w:rsidR="00F07F2A" w:rsidRDefault="00F07F2A" w:rsidP="00D644CF">
      <w:pPr>
        <w:ind w:left="100" w:right="-20"/>
        <w:rPr>
          <w:rFonts w:eastAsia="Arial" w:cs="Times New Roman"/>
          <w:spacing w:val="1"/>
          <w:sz w:val="36"/>
          <w:szCs w:val="36"/>
        </w:rPr>
      </w:pPr>
    </w:p>
    <w:p w14:paraId="36F3CE78" w14:textId="7636AA1D" w:rsidR="00D644CF" w:rsidRPr="00D644CF" w:rsidRDefault="00D644CF" w:rsidP="00D644CF">
      <w:pPr>
        <w:ind w:left="100" w:right="-20"/>
        <w:rPr>
          <w:rFonts w:eastAsia="Arial" w:cs="Times New Roman"/>
          <w:sz w:val="36"/>
          <w:szCs w:val="36"/>
        </w:rPr>
      </w:pPr>
      <w:r w:rsidRPr="00D644CF">
        <w:rPr>
          <w:rFonts w:eastAsia="Arial" w:cs="Times New Roman"/>
          <w:spacing w:val="1"/>
          <w:sz w:val="36"/>
          <w:szCs w:val="36"/>
        </w:rPr>
        <w:t xml:space="preserve">Third Universal Periodic Review of </w:t>
      </w:r>
      <w:r>
        <w:rPr>
          <w:rFonts w:eastAsia="Arial" w:cs="Times New Roman"/>
          <w:spacing w:val="1"/>
          <w:sz w:val="36"/>
          <w:szCs w:val="36"/>
        </w:rPr>
        <w:t>the Russian Federation</w:t>
      </w:r>
    </w:p>
    <w:p w14:paraId="4244A2BE" w14:textId="77777777" w:rsidR="00D644CF" w:rsidRPr="00D644CF" w:rsidRDefault="00D644CF" w:rsidP="00D644CF">
      <w:pPr>
        <w:spacing w:line="170" w:lineRule="exact"/>
        <w:rPr>
          <w:rFonts w:eastAsia="Times New Roman" w:cs="Times New Roman"/>
          <w:sz w:val="36"/>
          <w:szCs w:val="36"/>
        </w:rPr>
      </w:pPr>
    </w:p>
    <w:p w14:paraId="5E2421FF" w14:textId="77777777" w:rsidR="00D644CF" w:rsidRPr="00D644CF" w:rsidRDefault="00D644CF" w:rsidP="00D644CF">
      <w:pPr>
        <w:spacing w:line="200" w:lineRule="exact"/>
        <w:rPr>
          <w:rFonts w:cs="Times New Roman"/>
          <w:sz w:val="36"/>
          <w:szCs w:val="36"/>
        </w:rPr>
      </w:pPr>
    </w:p>
    <w:p w14:paraId="2B391EB6" w14:textId="77777777" w:rsidR="00D644CF" w:rsidRPr="00D644CF" w:rsidRDefault="00D644CF" w:rsidP="00D644CF">
      <w:pPr>
        <w:ind w:left="100" w:right="-20"/>
        <w:rPr>
          <w:rFonts w:eastAsia="Arial" w:cs="Times New Roman"/>
          <w:sz w:val="36"/>
          <w:szCs w:val="36"/>
        </w:rPr>
      </w:pPr>
      <w:r w:rsidRPr="00D644CF">
        <w:rPr>
          <w:rFonts w:eastAsia="Arial" w:cs="Times New Roman"/>
          <w:sz w:val="36"/>
          <w:szCs w:val="36"/>
        </w:rPr>
        <w:t>30th Session (2018)</w:t>
      </w:r>
    </w:p>
    <w:p w14:paraId="5E4AFF84" w14:textId="77777777" w:rsidR="00D644CF" w:rsidRDefault="00D644CF" w:rsidP="00C16E9F">
      <w:pPr>
        <w:rPr>
          <w:rFonts w:cs="Times New Roman"/>
          <w:b/>
          <w:sz w:val="36"/>
          <w:szCs w:val="36"/>
          <w:lang w:val="en-GB"/>
        </w:rPr>
      </w:pPr>
    </w:p>
    <w:p w14:paraId="1BB00FB9" w14:textId="77777777" w:rsidR="00D644CF" w:rsidRDefault="00D644CF" w:rsidP="00C16E9F">
      <w:pPr>
        <w:rPr>
          <w:rFonts w:cs="Times New Roman"/>
          <w:b/>
          <w:sz w:val="36"/>
          <w:szCs w:val="36"/>
          <w:lang w:val="en-GB"/>
        </w:rPr>
      </w:pPr>
    </w:p>
    <w:p w14:paraId="4C57E9F3" w14:textId="77777777" w:rsidR="00D644CF" w:rsidRDefault="00D644CF" w:rsidP="00C16E9F">
      <w:pPr>
        <w:rPr>
          <w:rFonts w:cs="Times New Roman"/>
          <w:b/>
          <w:sz w:val="36"/>
          <w:szCs w:val="36"/>
          <w:lang w:val="en-GB"/>
        </w:rPr>
      </w:pPr>
    </w:p>
    <w:p w14:paraId="63B6DC87" w14:textId="77777777" w:rsidR="00D644CF" w:rsidRDefault="00D644CF" w:rsidP="00C16E9F">
      <w:pPr>
        <w:rPr>
          <w:rFonts w:cs="Times New Roman"/>
          <w:b/>
          <w:sz w:val="36"/>
          <w:szCs w:val="36"/>
          <w:lang w:val="en-GB"/>
        </w:rPr>
      </w:pPr>
    </w:p>
    <w:p w14:paraId="79370B4B" w14:textId="77777777" w:rsidR="00D644CF" w:rsidRDefault="00D644CF" w:rsidP="00C16E9F">
      <w:pPr>
        <w:rPr>
          <w:rFonts w:cs="Times New Roman"/>
          <w:b/>
          <w:sz w:val="36"/>
          <w:szCs w:val="36"/>
          <w:lang w:val="en-GB"/>
        </w:rPr>
      </w:pPr>
    </w:p>
    <w:p w14:paraId="4FB93DCC" w14:textId="77777777" w:rsidR="00D644CF" w:rsidRDefault="00D644CF" w:rsidP="00C16E9F">
      <w:pPr>
        <w:rPr>
          <w:rFonts w:cs="Times New Roman"/>
          <w:b/>
          <w:sz w:val="36"/>
          <w:szCs w:val="36"/>
          <w:lang w:val="en-GB"/>
        </w:rPr>
      </w:pPr>
    </w:p>
    <w:p w14:paraId="10849733" w14:textId="77777777" w:rsidR="00D644CF" w:rsidRDefault="00D644CF" w:rsidP="00C16E9F">
      <w:pPr>
        <w:rPr>
          <w:rFonts w:cs="Times New Roman"/>
          <w:b/>
          <w:sz w:val="36"/>
          <w:szCs w:val="36"/>
          <w:lang w:val="en-GB"/>
        </w:rPr>
      </w:pPr>
    </w:p>
    <w:p w14:paraId="1151C857" w14:textId="0CF266DC" w:rsidR="00D644CF" w:rsidRDefault="00D644CF" w:rsidP="00D644CF">
      <w:pPr>
        <w:rPr>
          <w:bCs/>
          <w:lang w:val="en-CA"/>
        </w:rPr>
      </w:pPr>
      <w:r>
        <w:rPr>
          <w:bCs/>
          <w:lang w:val="en-CA"/>
        </w:rPr>
        <w:t>This report is drafted on behalf of th</w:t>
      </w:r>
      <w:r w:rsidR="005211FE">
        <w:rPr>
          <w:bCs/>
          <w:lang w:val="en-CA"/>
        </w:rPr>
        <w:t>re</w:t>
      </w:r>
      <w:r>
        <w:rPr>
          <w:bCs/>
          <w:lang w:val="en-CA"/>
        </w:rPr>
        <w:t>e</w:t>
      </w:r>
      <w:r w:rsidR="005211FE">
        <w:rPr>
          <w:bCs/>
          <w:lang w:val="en-CA"/>
        </w:rPr>
        <w:t xml:space="preserve"> groups -</w:t>
      </w:r>
      <w:r>
        <w:rPr>
          <w:bCs/>
          <w:lang w:val="en-CA"/>
        </w:rPr>
        <w:t xml:space="preserve"> Russian Public Mechanism for Monitoring of Drug Policy </w:t>
      </w:r>
      <w:proofErr w:type="gramStart"/>
      <w:r>
        <w:rPr>
          <w:bCs/>
          <w:lang w:val="en-CA"/>
        </w:rPr>
        <w:t>reform</w:t>
      </w:r>
      <w:r w:rsidR="003D554B">
        <w:rPr>
          <w:bCs/>
          <w:lang w:val="en-CA"/>
        </w:rPr>
        <w:t xml:space="preserve">, </w:t>
      </w:r>
      <w:r>
        <w:rPr>
          <w:bCs/>
          <w:lang w:val="en-CA"/>
        </w:rPr>
        <w:t xml:space="preserve"> </w:t>
      </w:r>
      <w:r w:rsidR="003D554B" w:rsidRPr="003D554B">
        <w:rPr>
          <w:bCs/>
          <w:lang w:val="en-CA"/>
        </w:rPr>
        <w:t>Russian</w:t>
      </w:r>
      <w:proofErr w:type="gramEnd"/>
      <w:r w:rsidR="003D554B" w:rsidRPr="003D554B">
        <w:rPr>
          <w:bCs/>
          <w:lang w:val="en-CA"/>
        </w:rPr>
        <w:t xml:space="preserve"> movement of activists and advocates for sex workers’ rights ‘Silver Rose’</w:t>
      </w:r>
      <w:r w:rsidR="005211FE">
        <w:rPr>
          <w:bCs/>
          <w:lang w:val="en-CA"/>
        </w:rPr>
        <w:t>,</w:t>
      </w:r>
      <w:r w:rsidR="003D554B">
        <w:rPr>
          <w:bCs/>
          <w:lang w:val="en-CA"/>
        </w:rPr>
        <w:t xml:space="preserve"> and a Russian MSM </w:t>
      </w:r>
      <w:r w:rsidR="003D554B" w:rsidRPr="003D554B">
        <w:rPr>
          <w:bCs/>
          <w:lang w:val="en-CA"/>
        </w:rPr>
        <w:t>NGO Phoenix PLUS</w:t>
      </w:r>
      <w:r w:rsidR="003D554B">
        <w:rPr>
          <w:bCs/>
          <w:lang w:val="en-CA"/>
        </w:rPr>
        <w:t xml:space="preserve">. The report is drafted </w:t>
      </w:r>
      <w:r>
        <w:rPr>
          <w:bCs/>
          <w:lang w:val="en-CA"/>
        </w:rPr>
        <w:t>by the Andrey Rylkov Foundation for Social Justice and Health with technical assistance of the Canadian HIV/AIDS Legal Network*.</w:t>
      </w:r>
    </w:p>
    <w:p w14:paraId="097F7186" w14:textId="77777777" w:rsidR="00D644CF" w:rsidRDefault="00D644CF" w:rsidP="00D644CF">
      <w:pPr>
        <w:rPr>
          <w:bCs/>
          <w:lang w:val="en-CA"/>
        </w:rPr>
      </w:pPr>
    </w:p>
    <w:p w14:paraId="7932D2D4" w14:textId="77777777" w:rsidR="00D644CF" w:rsidRDefault="00D644CF" w:rsidP="00D644CF">
      <w:pPr>
        <w:rPr>
          <w:bCs/>
          <w:lang w:val="en-CA"/>
        </w:rPr>
      </w:pPr>
      <w:r>
        <w:rPr>
          <w:bCs/>
          <w:lang w:val="en-CA"/>
        </w:rPr>
        <w:t>Person to contact: Anna Kinchevskaya, Moscow. Email: anna.kinchevskaya@gmail.com</w:t>
      </w:r>
    </w:p>
    <w:p w14:paraId="7D3A89AD" w14:textId="147F6AA3" w:rsidR="00D644CF" w:rsidRDefault="00D644CF" w:rsidP="00D644CF">
      <w:pPr>
        <w:rPr>
          <w:sz w:val="20"/>
          <w:szCs w:val="20"/>
        </w:rPr>
      </w:pPr>
      <w:r>
        <w:rPr>
          <w:sz w:val="20"/>
          <w:szCs w:val="20"/>
        </w:rPr>
        <w:t>*</w:t>
      </w:r>
      <w:r w:rsidR="002F756D">
        <w:rPr>
          <w:sz w:val="20"/>
          <w:szCs w:val="20"/>
        </w:rPr>
        <w:t>Information</w:t>
      </w:r>
      <w:r w:rsidR="005211FE">
        <w:rPr>
          <w:sz w:val="20"/>
          <w:szCs w:val="20"/>
        </w:rPr>
        <w:t xml:space="preserve"> about drafting</w:t>
      </w:r>
      <w:r>
        <w:rPr>
          <w:sz w:val="20"/>
          <w:szCs w:val="20"/>
        </w:rPr>
        <w:t xml:space="preserve"> organization</w:t>
      </w:r>
      <w:r w:rsidR="00AB4FDD">
        <w:rPr>
          <w:sz w:val="20"/>
          <w:szCs w:val="20"/>
        </w:rPr>
        <w:t>s</w:t>
      </w:r>
      <w:r>
        <w:rPr>
          <w:sz w:val="20"/>
          <w:szCs w:val="20"/>
        </w:rPr>
        <w:t xml:space="preserve"> is in Annex I</w:t>
      </w:r>
    </w:p>
    <w:p w14:paraId="3F344787" w14:textId="70CC1BE3" w:rsidR="00F21649" w:rsidRPr="001F0D84" w:rsidRDefault="00D644CF" w:rsidP="002F756D">
      <w:pPr>
        <w:spacing w:before="100" w:beforeAutospacing="1" w:after="100" w:afterAutospacing="1" w:line="360" w:lineRule="auto"/>
        <w:rPr>
          <w:b/>
          <w:lang w:val="en-GB"/>
        </w:rPr>
      </w:pPr>
      <w:r w:rsidRPr="001F0D84">
        <w:rPr>
          <w:b/>
          <w:lang w:val="en-GB"/>
        </w:rPr>
        <w:lastRenderedPageBreak/>
        <w:t>INTRODUCTION</w:t>
      </w:r>
    </w:p>
    <w:p w14:paraId="0A911DF0" w14:textId="56965881" w:rsidR="001C42E3" w:rsidRDefault="002F756D" w:rsidP="002F756D">
      <w:pPr>
        <w:widowControl w:val="0"/>
        <w:autoSpaceDE w:val="0"/>
        <w:autoSpaceDN w:val="0"/>
        <w:adjustRightInd w:val="0"/>
        <w:spacing w:before="100" w:beforeAutospacing="1" w:after="100" w:afterAutospacing="1" w:line="360" w:lineRule="auto"/>
      </w:pPr>
      <w:r>
        <w:rPr>
          <w:lang w:val="en-GB"/>
        </w:rPr>
        <w:t xml:space="preserve">1. </w:t>
      </w:r>
      <w:r w:rsidR="00F21649">
        <w:rPr>
          <w:lang w:val="en-GB"/>
        </w:rPr>
        <w:t xml:space="preserve">This report </w:t>
      </w:r>
      <w:r w:rsidR="00183546">
        <w:rPr>
          <w:lang w:val="en-GB"/>
        </w:rPr>
        <w:t>provide</w:t>
      </w:r>
      <w:r w:rsidR="0043480A">
        <w:rPr>
          <w:lang w:val="en-GB"/>
        </w:rPr>
        <w:t>s</w:t>
      </w:r>
      <w:r w:rsidR="00183546">
        <w:rPr>
          <w:lang w:val="en-GB"/>
        </w:rPr>
        <w:t xml:space="preserve"> information </w:t>
      </w:r>
      <w:r w:rsidR="00E45BC2">
        <w:rPr>
          <w:lang w:val="en-GB"/>
        </w:rPr>
        <w:t xml:space="preserve">on </w:t>
      </w:r>
      <w:r w:rsidR="0052285F">
        <w:rPr>
          <w:lang w:val="en-GB"/>
        </w:rPr>
        <w:t xml:space="preserve">the implementation of UPR recommendations received and accepted by the Russian Federation during the second UPR cycle, as relevant to the fast growing </w:t>
      </w:r>
      <w:r w:rsidR="00E45BC2">
        <w:rPr>
          <w:lang w:val="en-GB"/>
        </w:rPr>
        <w:t>HIV</w:t>
      </w:r>
      <w:r w:rsidR="00AB4FDD">
        <w:rPr>
          <w:lang w:val="en-GB"/>
        </w:rPr>
        <w:t xml:space="preserve"> epidemic combined with </w:t>
      </w:r>
      <w:r w:rsidR="007A34F0" w:rsidRPr="007A34F0">
        <w:rPr>
          <w:lang w:val="en-GB"/>
        </w:rPr>
        <w:t xml:space="preserve">multidrug-resistant </w:t>
      </w:r>
      <w:r w:rsidR="00AB4FDD">
        <w:rPr>
          <w:lang w:val="en-GB"/>
        </w:rPr>
        <w:t>tuberculosis</w:t>
      </w:r>
      <w:r w:rsidR="00434BDE">
        <w:rPr>
          <w:lang w:val="en-GB"/>
        </w:rPr>
        <w:t xml:space="preserve"> </w:t>
      </w:r>
      <w:r w:rsidR="007A34F0" w:rsidRPr="007A34F0">
        <w:rPr>
          <w:lang w:val="en-GB"/>
        </w:rPr>
        <w:t>and rifampicin-resistant</w:t>
      </w:r>
      <w:r w:rsidR="00DF3154">
        <w:rPr>
          <w:lang w:val="en-GB"/>
        </w:rPr>
        <w:t xml:space="preserve"> tuberculosis</w:t>
      </w:r>
      <w:r w:rsidR="007A34F0" w:rsidRPr="007A34F0">
        <w:rPr>
          <w:lang w:val="en-GB"/>
        </w:rPr>
        <w:t xml:space="preserve"> (</w:t>
      </w:r>
      <w:r w:rsidR="00434BDE" w:rsidRPr="007A34F0">
        <w:rPr>
          <w:lang w:val="en-GB"/>
        </w:rPr>
        <w:t>MD</w:t>
      </w:r>
      <w:r w:rsidR="00434BDE">
        <w:rPr>
          <w:lang w:val="en-GB"/>
        </w:rPr>
        <w:t>R/</w:t>
      </w:r>
      <w:r w:rsidR="00434BDE" w:rsidRPr="007A34F0">
        <w:rPr>
          <w:lang w:val="en-GB"/>
        </w:rPr>
        <w:t>R</w:t>
      </w:r>
      <w:r w:rsidR="007A34F0" w:rsidRPr="007A34F0">
        <w:rPr>
          <w:lang w:val="en-GB"/>
        </w:rPr>
        <w:t>R-TB)</w:t>
      </w:r>
      <w:r w:rsidR="00B775A3">
        <w:t>.</w:t>
      </w:r>
      <w:r w:rsidR="00B775A3" w:rsidRPr="00B775A3">
        <w:rPr>
          <w:rStyle w:val="a3"/>
        </w:rPr>
        <w:t xml:space="preserve"> </w:t>
      </w:r>
      <w:r w:rsidR="001C42E3">
        <w:rPr>
          <w:rStyle w:val="af0"/>
        </w:rPr>
        <w:endnoteReference w:id="1"/>
      </w:r>
      <w:r w:rsidR="001C42E3">
        <w:t xml:space="preserve"> </w:t>
      </w:r>
    </w:p>
    <w:p w14:paraId="65395241" w14:textId="646F584A" w:rsidR="001C42E3" w:rsidRDefault="002F756D" w:rsidP="002F756D">
      <w:pPr>
        <w:spacing w:before="100" w:beforeAutospacing="1" w:after="100" w:afterAutospacing="1" w:line="360" w:lineRule="auto"/>
        <w:rPr>
          <w:lang w:val="en-GB"/>
        </w:rPr>
      </w:pPr>
      <w:r>
        <w:rPr>
          <w:lang w:val="en-GB"/>
        </w:rPr>
        <w:t xml:space="preserve">2. </w:t>
      </w:r>
      <w:r w:rsidR="001C42E3">
        <w:rPr>
          <w:lang w:val="en-GB"/>
        </w:rPr>
        <w:t>We begin with UPR recommendations related to the right to health (Cuba and Brazil)</w:t>
      </w:r>
      <w:r w:rsidR="00434BDE">
        <w:rPr>
          <w:lang w:val="en-GB"/>
        </w:rPr>
        <w:t xml:space="preserve"> and </w:t>
      </w:r>
      <w:r w:rsidR="000B2D5A">
        <w:rPr>
          <w:lang w:val="en-GB"/>
        </w:rPr>
        <w:t xml:space="preserve">follow with </w:t>
      </w:r>
      <w:r w:rsidR="001C42E3">
        <w:rPr>
          <w:lang w:val="en-GB"/>
        </w:rPr>
        <w:t>UPR</w:t>
      </w:r>
      <w:r w:rsidR="006B49BE">
        <w:rPr>
          <w:lang w:val="en-GB"/>
        </w:rPr>
        <w:t xml:space="preserve"> recommendations which have </w:t>
      </w:r>
      <w:r w:rsidR="001C42E3">
        <w:rPr>
          <w:lang w:val="en-GB"/>
        </w:rPr>
        <w:t>direct relevance to people who inject drugs (PWID)</w:t>
      </w:r>
      <w:r w:rsidR="007601B2">
        <w:rPr>
          <w:lang w:val="en-GB"/>
        </w:rPr>
        <w:t xml:space="preserve">, sex workers (SW), and men who have sex with men (MSM) as </w:t>
      </w:r>
      <w:r w:rsidR="000B2D5A">
        <w:rPr>
          <w:lang w:val="en-GB"/>
        </w:rPr>
        <w:t>group</w:t>
      </w:r>
      <w:r w:rsidR="007601B2">
        <w:rPr>
          <w:lang w:val="en-GB"/>
        </w:rPr>
        <w:t>s</w:t>
      </w:r>
      <w:r w:rsidR="000B2D5A">
        <w:rPr>
          <w:lang w:val="en-GB"/>
        </w:rPr>
        <w:t xml:space="preserve"> </w:t>
      </w:r>
      <w:r w:rsidR="001C42E3">
        <w:rPr>
          <w:lang w:val="en-GB"/>
        </w:rPr>
        <w:t>most marginalized and affected by HIV</w:t>
      </w:r>
      <w:r w:rsidR="005211FE">
        <w:rPr>
          <w:lang w:val="en-GB"/>
        </w:rPr>
        <w:t xml:space="preserve"> in Russia. PWID are also a</w:t>
      </w:r>
      <w:r w:rsidR="007601B2">
        <w:rPr>
          <w:lang w:val="en-GB"/>
        </w:rPr>
        <w:t xml:space="preserve"> group most vulnerable to </w:t>
      </w:r>
      <w:r w:rsidR="001C42E3">
        <w:rPr>
          <w:lang w:val="en-GB"/>
        </w:rPr>
        <w:t>MDR</w:t>
      </w:r>
      <w:r w:rsidR="005211FE">
        <w:rPr>
          <w:lang w:val="en-GB"/>
        </w:rPr>
        <w:t>/RR</w:t>
      </w:r>
      <w:r w:rsidR="001C42E3">
        <w:rPr>
          <w:lang w:val="en-GB"/>
        </w:rPr>
        <w:t>-TB in Rus</w:t>
      </w:r>
      <w:r w:rsidR="000B2D5A">
        <w:rPr>
          <w:lang w:val="en-GB"/>
        </w:rPr>
        <w:t>s</w:t>
      </w:r>
      <w:r w:rsidR="001C42E3">
        <w:rPr>
          <w:lang w:val="en-GB"/>
        </w:rPr>
        <w:t>ia</w:t>
      </w:r>
    </w:p>
    <w:p w14:paraId="2B671FB3" w14:textId="795B3E37" w:rsidR="001C42E3" w:rsidRDefault="002F756D" w:rsidP="002F756D">
      <w:pPr>
        <w:spacing w:before="100" w:beforeAutospacing="1" w:after="100" w:afterAutospacing="1" w:line="360" w:lineRule="auto"/>
        <w:rPr>
          <w:lang w:val="en-GB"/>
        </w:rPr>
      </w:pPr>
      <w:r>
        <w:rPr>
          <w:lang w:val="en-GB"/>
        </w:rPr>
        <w:t xml:space="preserve">3. </w:t>
      </w:r>
      <w:r w:rsidR="001C42E3">
        <w:rPr>
          <w:lang w:val="en-GB"/>
        </w:rPr>
        <w:t xml:space="preserve">We conclude with the following </w:t>
      </w:r>
      <w:r w:rsidR="001C42E3" w:rsidRPr="002F756D">
        <w:rPr>
          <w:b/>
          <w:u w:val="single"/>
          <w:lang w:val="en-GB"/>
        </w:rPr>
        <w:t>recommendations for the Russian Federation during the third UPR cycle</w:t>
      </w:r>
      <w:r w:rsidR="001C42E3">
        <w:rPr>
          <w:lang w:val="en-GB"/>
        </w:rPr>
        <w:t>:</w:t>
      </w:r>
    </w:p>
    <w:p w14:paraId="659309C8" w14:textId="598C2D45" w:rsidR="001C42E3" w:rsidRPr="002F756D" w:rsidRDefault="001C42E3" w:rsidP="002F756D">
      <w:pPr>
        <w:pStyle w:val="a6"/>
        <w:numPr>
          <w:ilvl w:val="0"/>
          <w:numId w:val="3"/>
        </w:numPr>
        <w:spacing w:before="100" w:beforeAutospacing="1" w:after="100" w:afterAutospacing="1" w:line="360" w:lineRule="auto"/>
        <w:rPr>
          <w:lang w:val="en-GB"/>
        </w:rPr>
      </w:pPr>
      <w:r w:rsidRPr="002F756D">
        <w:rPr>
          <w:lang w:val="en-GB"/>
        </w:rPr>
        <w:t xml:space="preserve">Provide clear legal grounds and other support </w:t>
      </w:r>
      <w:r w:rsidR="00434BDE">
        <w:rPr>
          <w:lang w:val="en-GB"/>
        </w:rPr>
        <w:t xml:space="preserve">to </w:t>
      </w:r>
      <w:r w:rsidRPr="002F756D">
        <w:rPr>
          <w:lang w:val="en-GB"/>
        </w:rPr>
        <w:t>WHO recommended measures for HIV prevention among people who inject drugs, in particular the opioid substitution therapy with use of methadone and buprenorphine, as well as needle and syringe, and overdose prevention programs</w:t>
      </w:r>
    </w:p>
    <w:p w14:paraId="5981C717" w14:textId="56AA4362" w:rsidR="001C42E3" w:rsidRDefault="002F756D" w:rsidP="002F756D">
      <w:pPr>
        <w:pStyle w:val="a6"/>
        <w:numPr>
          <w:ilvl w:val="0"/>
          <w:numId w:val="3"/>
        </w:numPr>
        <w:spacing w:before="100" w:beforeAutospacing="1" w:after="100" w:afterAutospacing="1" w:line="360" w:lineRule="auto"/>
        <w:rPr>
          <w:lang w:val="en-GB"/>
        </w:rPr>
      </w:pPr>
      <w:r>
        <w:rPr>
          <w:lang w:val="en-GB"/>
        </w:rPr>
        <w:t xml:space="preserve">Address </w:t>
      </w:r>
      <w:r w:rsidR="00AC3E8B">
        <w:rPr>
          <w:lang w:val="en-GB"/>
        </w:rPr>
        <w:t xml:space="preserve">the </w:t>
      </w:r>
      <w:r>
        <w:rPr>
          <w:lang w:val="en-GB"/>
        </w:rPr>
        <w:t>vulnerability of people who inject drugs to HIV and d</w:t>
      </w:r>
      <w:r w:rsidR="001C42E3" w:rsidRPr="002F756D">
        <w:rPr>
          <w:lang w:val="en-GB"/>
        </w:rPr>
        <w:t xml:space="preserve">epenalize drug use, by repealing administrative and criminal punishment for </w:t>
      </w:r>
      <w:r w:rsidR="005211FE">
        <w:rPr>
          <w:lang w:val="en-GB"/>
        </w:rPr>
        <w:t xml:space="preserve">the </w:t>
      </w:r>
      <w:r w:rsidR="001C42E3" w:rsidRPr="002F756D">
        <w:rPr>
          <w:lang w:val="en-GB"/>
        </w:rPr>
        <w:t>use</w:t>
      </w:r>
      <w:r w:rsidR="005211FE">
        <w:rPr>
          <w:lang w:val="en-GB"/>
        </w:rPr>
        <w:t xml:space="preserve"> of narcotic drugs</w:t>
      </w:r>
      <w:r w:rsidR="001C42E3" w:rsidRPr="002F756D">
        <w:rPr>
          <w:lang w:val="en-GB"/>
        </w:rPr>
        <w:t xml:space="preserve">, possession </w:t>
      </w:r>
      <w:r w:rsidR="005211FE">
        <w:rPr>
          <w:lang w:val="en-GB"/>
        </w:rPr>
        <w:t xml:space="preserve">of narcotic drugs </w:t>
      </w:r>
      <w:r w:rsidR="001C42E3" w:rsidRPr="002F756D">
        <w:rPr>
          <w:lang w:val="en-GB"/>
        </w:rPr>
        <w:t xml:space="preserve">with no intent to supply, and social distribution (micro- trafficking) of </w:t>
      </w:r>
      <w:r w:rsidR="005211FE">
        <w:rPr>
          <w:lang w:val="en-GB"/>
        </w:rPr>
        <w:t xml:space="preserve">narcotic </w:t>
      </w:r>
      <w:r w:rsidR="001C42E3" w:rsidRPr="002F756D">
        <w:rPr>
          <w:lang w:val="en-GB"/>
        </w:rPr>
        <w:t>drugs.</w:t>
      </w:r>
    </w:p>
    <w:p w14:paraId="3A4A0B2C" w14:textId="4D91B3F2" w:rsidR="000B626F" w:rsidRPr="008E6141" w:rsidRDefault="000B626F" w:rsidP="000B626F">
      <w:pPr>
        <w:pStyle w:val="a6"/>
        <w:numPr>
          <w:ilvl w:val="0"/>
          <w:numId w:val="3"/>
        </w:numPr>
        <w:spacing w:before="100" w:beforeAutospacing="1" w:after="100" w:afterAutospacing="1" w:line="360" w:lineRule="auto"/>
        <w:rPr>
          <w:rFonts w:cs="Times New Roman"/>
        </w:rPr>
      </w:pPr>
      <w:r w:rsidRPr="008E6141">
        <w:rPr>
          <w:rFonts w:cs="Times New Roman"/>
        </w:rPr>
        <w:t xml:space="preserve">Address the vulnerability of sex workers to HIV and </w:t>
      </w:r>
      <w:r w:rsidR="00E96729" w:rsidRPr="008E6141">
        <w:rPr>
          <w:rFonts w:cs="Times New Roman"/>
        </w:rPr>
        <w:t>depenalize</w:t>
      </w:r>
      <w:r w:rsidRPr="008E6141">
        <w:rPr>
          <w:rFonts w:cs="Times New Roman"/>
        </w:rPr>
        <w:t xml:space="preserve"> sex workers by repealing administrative and criminal punishment for voluntary adult sex-work and its management, and establish HIV and other health services for sex workers.</w:t>
      </w:r>
    </w:p>
    <w:p w14:paraId="3A1C1A6F" w14:textId="77777777" w:rsidR="00F34B64" w:rsidRPr="008E6141" w:rsidRDefault="00F34B64" w:rsidP="00F34B64">
      <w:pPr>
        <w:pStyle w:val="a6"/>
        <w:numPr>
          <w:ilvl w:val="0"/>
          <w:numId w:val="3"/>
        </w:numPr>
        <w:spacing w:before="100" w:beforeAutospacing="1" w:after="100" w:afterAutospacing="1" w:line="360" w:lineRule="auto"/>
        <w:rPr>
          <w:rFonts w:eastAsia="Calibri" w:cs="Times New Roman"/>
          <w:lang w:bidi="en-US"/>
        </w:rPr>
      </w:pPr>
      <w:r w:rsidRPr="008E6141">
        <w:rPr>
          <w:rFonts w:eastAsia="Calibri" w:cs="Times New Roman"/>
          <w:lang w:bidi="en-US"/>
        </w:rPr>
        <w:t>Address the vulnerability of men who have sex with men and transgender persons to HIV and provide them with necessary protection against discrimination and violence, in particular through the adoption of anti-discrimination legislation and the revision of the existing discriminatory laws that prohibit information related to “non-traditional sexual relations”.</w:t>
      </w:r>
    </w:p>
    <w:p w14:paraId="632EDD9A" w14:textId="77777777" w:rsidR="00F34B64" w:rsidRPr="008E6141" w:rsidRDefault="00F34B64" w:rsidP="00F34B64">
      <w:pPr>
        <w:pStyle w:val="a6"/>
        <w:numPr>
          <w:ilvl w:val="0"/>
          <w:numId w:val="3"/>
        </w:numPr>
        <w:spacing w:before="100" w:beforeAutospacing="1" w:after="100" w:afterAutospacing="1" w:line="360" w:lineRule="auto"/>
        <w:rPr>
          <w:rFonts w:cs="Times New Roman"/>
          <w:b/>
        </w:rPr>
      </w:pPr>
      <w:r w:rsidRPr="008E6141">
        <w:rPr>
          <w:rFonts w:eastAsia="Calibri" w:cs="Times New Roman"/>
          <w:lang w:bidi="en-US"/>
        </w:rPr>
        <w:t>Provide support for science-based and human rights oriented HIV prevention, treatment and care services for MSM and transgender persons.</w:t>
      </w:r>
      <w:r w:rsidRPr="008E6141">
        <w:rPr>
          <w:rFonts w:cs="Times New Roman"/>
          <w:b/>
        </w:rPr>
        <w:t xml:space="preserve"> </w:t>
      </w:r>
    </w:p>
    <w:p w14:paraId="24B162C5" w14:textId="28297B1A" w:rsidR="001C42E3" w:rsidRPr="00267E7C" w:rsidRDefault="00D644CF" w:rsidP="002F756D">
      <w:pPr>
        <w:spacing w:before="100" w:beforeAutospacing="1" w:after="100" w:afterAutospacing="1" w:line="360" w:lineRule="auto"/>
        <w:rPr>
          <w:b/>
          <w:lang w:val="en-GB"/>
        </w:rPr>
      </w:pPr>
      <w:r w:rsidRPr="00B775A3">
        <w:rPr>
          <w:b/>
          <w:lang w:val="en-GB"/>
        </w:rPr>
        <w:lastRenderedPageBreak/>
        <w:t>UPR RECOMMENDATIONS GIVEN TO RUSSIA DURING THE SECOND UPR CYCLE</w:t>
      </w:r>
      <w:r>
        <w:rPr>
          <w:b/>
          <w:lang w:val="en-GB"/>
        </w:rPr>
        <w:t>,</w:t>
      </w:r>
      <w:r w:rsidRPr="00267E7C">
        <w:rPr>
          <w:b/>
          <w:lang w:val="en-GB"/>
        </w:rPr>
        <w:t xml:space="preserve"> REL</w:t>
      </w:r>
      <w:r>
        <w:rPr>
          <w:b/>
          <w:lang w:val="en-GB"/>
        </w:rPr>
        <w:t>EVANT</w:t>
      </w:r>
      <w:r w:rsidRPr="00267E7C">
        <w:rPr>
          <w:b/>
          <w:lang w:val="en-GB"/>
        </w:rPr>
        <w:t xml:space="preserve"> TO HIV AND MDR-TB</w:t>
      </w:r>
    </w:p>
    <w:p w14:paraId="0C6F0737" w14:textId="3C6EA9BC" w:rsidR="001C42E3" w:rsidRPr="001F0D84" w:rsidRDefault="002F756D" w:rsidP="002F756D">
      <w:pPr>
        <w:spacing w:before="100" w:beforeAutospacing="1" w:after="100" w:afterAutospacing="1" w:line="360" w:lineRule="auto"/>
        <w:rPr>
          <w:rFonts w:eastAsia="Times New Roman" w:cs="Times New Roman"/>
          <w:lang w:val="en-GB"/>
        </w:rPr>
      </w:pPr>
      <w:r>
        <w:rPr>
          <w:rFonts w:eastAsia="Times New Roman" w:cs="Times New Roman"/>
          <w:lang w:val="en-GB"/>
        </w:rPr>
        <w:t xml:space="preserve">4. </w:t>
      </w:r>
      <w:r w:rsidR="001C42E3" w:rsidRPr="001F0D84">
        <w:rPr>
          <w:rFonts w:eastAsia="Times New Roman" w:cs="Times New Roman"/>
          <w:lang w:val="en-GB"/>
        </w:rPr>
        <w:t>Continue its efforts to ensure free medical services of high quality for its population (given by Cuba during the second UPR cycle and accepted by the Russian Federation)</w:t>
      </w:r>
      <w:r w:rsidR="00DC3DB3">
        <w:rPr>
          <w:rStyle w:val="af0"/>
          <w:rFonts w:eastAsia="Times New Roman" w:cs="Times New Roman"/>
          <w:lang w:val="en-GB"/>
        </w:rPr>
        <w:endnoteReference w:id="2"/>
      </w:r>
      <w:r w:rsidR="001C42E3" w:rsidRPr="001F0D84">
        <w:rPr>
          <w:rFonts w:eastAsia="Times New Roman" w:cs="Times New Roman"/>
          <w:lang w:val="en-GB"/>
        </w:rPr>
        <w:t>;</w:t>
      </w:r>
    </w:p>
    <w:p w14:paraId="551D30B3" w14:textId="7C725E65" w:rsidR="001C42E3" w:rsidRPr="001F0D84" w:rsidRDefault="002F756D" w:rsidP="002F756D">
      <w:pPr>
        <w:spacing w:before="100" w:beforeAutospacing="1" w:after="100" w:afterAutospacing="1" w:line="360" w:lineRule="auto"/>
        <w:rPr>
          <w:rFonts w:eastAsia="Times New Roman" w:cs="Times New Roman"/>
          <w:lang w:val="en-GB"/>
        </w:rPr>
      </w:pPr>
      <w:r>
        <w:rPr>
          <w:rFonts w:eastAsia="Times New Roman" w:cs="Times New Roman"/>
          <w:lang w:val="en-GB"/>
        </w:rPr>
        <w:t xml:space="preserve">5. </w:t>
      </w:r>
      <w:r w:rsidR="001C42E3" w:rsidRPr="001F0D84">
        <w:rPr>
          <w:rFonts w:eastAsia="Times New Roman" w:cs="Times New Roman"/>
          <w:lang w:val="en-GB"/>
        </w:rPr>
        <w:t>Strengthen its programmes aimed at the promotion of the right to health (given by Brazil during the second UPR cycle and accepted by the Russian Federation)</w:t>
      </w:r>
      <w:r w:rsidR="00DC3DB3">
        <w:rPr>
          <w:rStyle w:val="af0"/>
          <w:rFonts w:eastAsia="Times New Roman" w:cs="Times New Roman"/>
          <w:lang w:val="en-GB"/>
        </w:rPr>
        <w:endnoteReference w:id="3"/>
      </w:r>
      <w:r w:rsidR="001C42E3" w:rsidRPr="001F0D84">
        <w:rPr>
          <w:rFonts w:eastAsia="Times New Roman" w:cs="Times New Roman"/>
          <w:lang w:val="en-GB"/>
        </w:rPr>
        <w:t>.</w:t>
      </w:r>
    </w:p>
    <w:p w14:paraId="2DE670C8" w14:textId="589D2710" w:rsidR="001C42E3" w:rsidRPr="002B6E3D" w:rsidRDefault="00D644CF" w:rsidP="002F756D">
      <w:pPr>
        <w:spacing w:before="100" w:beforeAutospacing="1" w:after="100" w:afterAutospacing="1" w:line="360" w:lineRule="auto"/>
        <w:rPr>
          <w:rFonts w:eastAsia="Times New Roman" w:cs="Times New Roman"/>
          <w:b/>
          <w:lang w:val="en-GB"/>
        </w:rPr>
      </w:pPr>
      <w:r>
        <w:rPr>
          <w:rFonts w:eastAsia="Times New Roman" w:cs="Times New Roman"/>
          <w:b/>
          <w:lang w:val="en-GB"/>
        </w:rPr>
        <w:t>IMPLEMENTATION OF THESE RECOMMENDATIONS BY RUSSIA WITH RESPECT TO HIV</w:t>
      </w:r>
    </w:p>
    <w:p w14:paraId="20A6CD3C" w14:textId="4A9C455F" w:rsidR="001C42E3" w:rsidRDefault="002F756D" w:rsidP="002F756D">
      <w:pPr>
        <w:spacing w:before="100" w:beforeAutospacing="1" w:after="100" w:afterAutospacing="1" w:line="360" w:lineRule="auto"/>
        <w:rPr>
          <w:rFonts w:cs="Times New Roman"/>
          <w:color w:val="000000" w:themeColor="text1"/>
        </w:rPr>
      </w:pPr>
      <w:r>
        <w:rPr>
          <w:rFonts w:cs="Times New Roman"/>
          <w:color w:val="000000" w:themeColor="text1"/>
        </w:rPr>
        <w:t xml:space="preserve">6. </w:t>
      </w:r>
      <w:r w:rsidR="001C42E3">
        <w:rPr>
          <w:rFonts w:cs="Times New Roman"/>
          <w:color w:val="000000" w:themeColor="text1"/>
        </w:rPr>
        <w:t>The Russian Federation failed to implement the</w:t>
      </w:r>
      <w:r w:rsidR="0043480A">
        <w:rPr>
          <w:rFonts w:cs="Times New Roman"/>
          <w:color w:val="000000" w:themeColor="text1"/>
        </w:rPr>
        <w:t>se</w:t>
      </w:r>
      <w:r w:rsidR="001C42E3">
        <w:rPr>
          <w:rFonts w:cs="Times New Roman"/>
          <w:color w:val="000000" w:themeColor="text1"/>
        </w:rPr>
        <w:t xml:space="preserve"> recommendations.</w:t>
      </w:r>
    </w:p>
    <w:p w14:paraId="222E5386" w14:textId="4603D86C" w:rsidR="001C42E3" w:rsidRDefault="002F756D" w:rsidP="002F756D">
      <w:pPr>
        <w:spacing w:before="100" w:beforeAutospacing="1" w:after="100" w:afterAutospacing="1" w:line="360" w:lineRule="auto"/>
        <w:rPr>
          <w:rFonts w:cs="Times New Roman"/>
          <w:color w:val="000000" w:themeColor="text1"/>
        </w:rPr>
      </w:pPr>
      <w:r>
        <w:rPr>
          <w:rFonts w:cs="Times New Roman"/>
          <w:color w:val="000000" w:themeColor="text1"/>
        </w:rPr>
        <w:t xml:space="preserve">7. </w:t>
      </w:r>
      <w:r w:rsidR="001C42E3" w:rsidRPr="003C01A1">
        <w:rPr>
          <w:rFonts w:cs="Times New Roman"/>
          <w:color w:val="000000" w:themeColor="text1"/>
        </w:rPr>
        <w:t>Nearly two-thirds of European HIV cases are now in Russia.</w:t>
      </w:r>
      <w:r w:rsidR="001C42E3">
        <w:rPr>
          <w:rFonts w:cs="Times New Roman"/>
          <w:color w:val="000000" w:themeColor="text1"/>
        </w:rPr>
        <w:t xml:space="preserve"> It is the only European country with a rising rate of new HIV infections, and that trend </w:t>
      </w:r>
      <w:r w:rsidR="00434BDE">
        <w:rPr>
          <w:rFonts w:cs="Times New Roman"/>
          <w:color w:val="000000" w:themeColor="text1"/>
        </w:rPr>
        <w:t>is</w:t>
      </w:r>
      <w:r w:rsidR="001C42E3">
        <w:rPr>
          <w:rFonts w:cs="Times New Roman"/>
          <w:color w:val="000000" w:themeColor="text1"/>
        </w:rPr>
        <w:t xml:space="preserve"> getting worse.</w:t>
      </w:r>
      <w:r w:rsidR="001C42E3">
        <w:rPr>
          <w:rStyle w:val="af0"/>
          <w:rFonts w:cs="Times New Roman"/>
          <w:color w:val="000000" w:themeColor="text1"/>
        </w:rPr>
        <w:endnoteReference w:id="4"/>
      </w:r>
      <w:r w:rsidR="001C42E3">
        <w:rPr>
          <w:rFonts w:cs="Times New Roman"/>
          <w:color w:val="000000" w:themeColor="text1"/>
        </w:rPr>
        <w:t xml:space="preserve"> </w:t>
      </w:r>
    </w:p>
    <w:p w14:paraId="0E500CA2" w14:textId="1C928CEA" w:rsidR="001C42E3" w:rsidRDefault="002F756D" w:rsidP="002F756D">
      <w:pPr>
        <w:spacing w:before="100" w:beforeAutospacing="1" w:after="100" w:afterAutospacing="1" w:line="360" w:lineRule="auto"/>
        <w:rPr>
          <w:rFonts w:cs="Times New Roman"/>
          <w:lang w:val="en-GB"/>
        </w:rPr>
      </w:pPr>
      <w:r>
        <w:rPr>
          <w:rFonts w:cs="Times New Roman"/>
          <w:lang w:val="en-GB"/>
        </w:rPr>
        <w:t xml:space="preserve">8. </w:t>
      </w:r>
      <w:r w:rsidR="001C42E3">
        <w:rPr>
          <w:rFonts w:cs="Times New Roman"/>
          <w:lang w:val="en-GB"/>
        </w:rPr>
        <w:t xml:space="preserve">Nearly 80 people living with HIV died every day during the first part of 2017. As of </w:t>
      </w:r>
      <w:r w:rsidR="001C42E3" w:rsidRPr="007A17C9">
        <w:rPr>
          <w:rFonts w:cs="Times New Roman"/>
          <w:lang w:val="en-GB"/>
        </w:rPr>
        <w:t xml:space="preserve">30 </w:t>
      </w:r>
      <w:r w:rsidR="001C42E3">
        <w:rPr>
          <w:rFonts w:cs="Times New Roman"/>
          <w:lang w:val="en-GB"/>
        </w:rPr>
        <w:t>June</w:t>
      </w:r>
      <w:r w:rsidR="001C42E3" w:rsidRPr="007A17C9">
        <w:rPr>
          <w:rFonts w:cs="Times New Roman"/>
          <w:lang w:val="en-GB"/>
        </w:rPr>
        <w:t xml:space="preserve"> 2017</w:t>
      </w:r>
      <w:r w:rsidR="001C42E3">
        <w:rPr>
          <w:rFonts w:cs="Times New Roman"/>
          <w:lang w:val="en-GB"/>
        </w:rPr>
        <w:t xml:space="preserve"> there were </w:t>
      </w:r>
      <w:r w:rsidR="001C42E3" w:rsidRPr="007A17C9">
        <w:rPr>
          <w:rFonts w:cs="Times New Roman"/>
          <w:lang w:val="en-GB"/>
        </w:rPr>
        <w:t>1</w:t>
      </w:r>
      <w:r w:rsidR="001C42E3">
        <w:rPr>
          <w:rFonts w:cs="Times New Roman"/>
          <w:lang w:val="en-GB"/>
        </w:rPr>
        <w:t>,</w:t>
      </w:r>
      <w:r w:rsidR="001C42E3" w:rsidRPr="007A17C9">
        <w:rPr>
          <w:rFonts w:cs="Times New Roman"/>
          <w:lang w:val="en-GB"/>
        </w:rPr>
        <w:t xml:space="preserve"> 167</w:t>
      </w:r>
      <w:r w:rsidR="001C42E3">
        <w:rPr>
          <w:rFonts w:cs="Times New Roman"/>
          <w:lang w:val="en-GB"/>
        </w:rPr>
        <w:t>,</w:t>
      </w:r>
      <w:r w:rsidR="001C42E3" w:rsidRPr="007A17C9">
        <w:rPr>
          <w:rFonts w:cs="Times New Roman"/>
          <w:lang w:val="en-GB"/>
        </w:rPr>
        <w:t xml:space="preserve"> 581</w:t>
      </w:r>
      <w:r w:rsidR="001C42E3">
        <w:rPr>
          <w:rFonts w:cs="Times New Roman"/>
          <w:lang w:val="en-GB"/>
        </w:rPr>
        <w:t xml:space="preserve"> HIV people officially registered in Russia; </w:t>
      </w:r>
      <w:r w:rsidR="001C42E3" w:rsidRPr="007A17C9">
        <w:rPr>
          <w:rFonts w:cs="Times New Roman"/>
          <w:lang w:val="en-GB"/>
        </w:rPr>
        <w:t>259</w:t>
      </w:r>
      <w:r w:rsidR="001C42E3">
        <w:rPr>
          <w:rFonts w:cs="Times New Roman"/>
          <w:lang w:val="en-GB"/>
        </w:rPr>
        <w:t>,</w:t>
      </w:r>
      <w:r w:rsidR="001C42E3" w:rsidRPr="007A17C9">
        <w:rPr>
          <w:rFonts w:cs="Times New Roman"/>
          <w:lang w:val="en-GB"/>
        </w:rPr>
        <w:t xml:space="preserve"> 156</w:t>
      </w:r>
      <w:r w:rsidR="001C42E3">
        <w:rPr>
          <w:rFonts w:cs="Times New Roman"/>
          <w:lang w:val="en-GB"/>
        </w:rPr>
        <w:t xml:space="preserve"> of them died since the beginning of epidemic in 1980th.</w:t>
      </w:r>
      <w:r w:rsidR="001C42E3">
        <w:rPr>
          <w:rStyle w:val="af0"/>
          <w:rFonts w:cs="Times New Roman"/>
          <w:lang w:val="en-GB"/>
        </w:rPr>
        <w:endnoteReference w:id="5"/>
      </w:r>
      <w:r w:rsidR="001C42E3">
        <w:rPr>
          <w:rFonts w:cs="Times New Roman"/>
          <w:lang w:val="en-GB"/>
        </w:rPr>
        <w:t xml:space="preserve"> </w:t>
      </w:r>
    </w:p>
    <w:p w14:paraId="1705BABC" w14:textId="19E9D68C" w:rsidR="001C42E3" w:rsidRPr="00267E7C" w:rsidRDefault="002F756D" w:rsidP="002F756D">
      <w:pPr>
        <w:spacing w:before="100" w:beforeAutospacing="1" w:after="100" w:afterAutospacing="1" w:line="360" w:lineRule="auto"/>
        <w:rPr>
          <w:rFonts w:eastAsia="Times New Roman" w:cs="Times New Roman"/>
          <w:lang w:val="en-GB"/>
        </w:rPr>
      </w:pPr>
      <w:r>
        <w:rPr>
          <w:rFonts w:eastAsia="Times New Roman" w:cs="Times New Roman"/>
          <w:lang w:val="en-GB"/>
        </w:rPr>
        <w:t xml:space="preserve">9. </w:t>
      </w:r>
      <w:r w:rsidR="001C42E3" w:rsidRPr="00267E7C">
        <w:rPr>
          <w:rFonts w:eastAsia="Times New Roman" w:cs="Times New Roman"/>
          <w:lang w:val="en-GB"/>
        </w:rPr>
        <w:t>As of June 2017 antiretroviral therapy (ARVT) was provided for 298, 888 patients (32,9% of all officially registered people living with HIV). Of them 12, 280 stopped taking ARVT for different reasons.</w:t>
      </w:r>
      <w:r w:rsidR="001C42E3" w:rsidRPr="00267E7C">
        <w:rPr>
          <w:rStyle w:val="af0"/>
          <w:rFonts w:eastAsia="Times New Roman" w:cs="Times New Roman"/>
          <w:lang w:val="en-GB"/>
        </w:rPr>
        <w:endnoteReference w:id="6"/>
      </w:r>
    </w:p>
    <w:p w14:paraId="1DB8BE21" w14:textId="3AD86A50" w:rsidR="001C42E3" w:rsidRDefault="002F756D" w:rsidP="002F756D">
      <w:pPr>
        <w:spacing w:before="100" w:beforeAutospacing="1" w:after="100" w:afterAutospacing="1" w:line="360" w:lineRule="auto"/>
        <w:ind w:left="-30"/>
        <w:jc w:val="both"/>
      </w:pPr>
      <w:r>
        <w:rPr>
          <w:rFonts w:eastAsia="Times New Roman" w:cs="Times New Roman"/>
          <w:lang w:val="en-GB"/>
        </w:rPr>
        <w:t xml:space="preserve">10. </w:t>
      </w:r>
      <w:r w:rsidR="001C42E3" w:rsidRPr="00267E7C">
        <w:rPr>
          <w:rFonts w:eastAsia="Times New Roman" w:cs="Times New Roman"/>
          <w:lang w:val="en-GB"/>
        </w:rPr>
        <w:t xml:space="preserve">The number of people with combined HIV and TB is growing, reaching 35, 334 as of June 2017. </w:t>
      </w:r>
      <w:r w:rsidR="001C42E3">
        <w:rPr>
          <w:rFonts w:eastAsia="Times New Roman" w:cs="Times New Roman"/>
          <w:lang w:val="en-GB"/>
        </w:rPr>
        <w:t xml:space="preserve">People living with HIV are </w:t>
      </w:r>
      <w:r w:rsidR="001C42E3">
        <w:t>50.9 times more often suffer TB than people from the general population.</w:t>
      </w:r>
      <w:r w:rsidR="001C42E3">
        <w:rPr>
          <w:vertAlign w:val="superscript"/>
        </w:rPr>
        <w:endnoteReference w:id="7"/>
      </w:r>
    </w:p>
    <w:p w14:paraId="4BA7B8A9" w14:textId="48AABCEE" w:rsidR="001C42E3" w:rsidRPr="00267E7C" w:rsidRDefault="002F756D" w:rsidP="002F756D">
      <w:pPr>
        <w:spacing w:before="100" w:beforeAutospacing="1" w:after="100" w:afterAutospacing="1" w:line="360" w:lineRule="auto"/>
        <w:rPr>
          <w:rFonts w:cs="Times New Roman"/>
        </w:rPr>
      </w:pPr>
      <w:r>
        <w:rPr>
          <w:rFonts w:cs="Times New Roman"/>
        </w:rPr>
        <w:t xml:space="preserve">11. </w:t>
      </w:r>
      <w:r w:rsidR="001C42E3" w:rsidRPr="00267E7C">
        <w:rPr>
          <w:rFonts w:cs="Times New Roman"/>
        </w:rPr>
        <w:t xml:space="preserve">In 2017, 50,3% </w:t>
      </w:r>
      <w:r w:rsidR="001C42E3">
        <w:rPr>
          <w:rFonts w:cs="Times New Roman"/>
        </w:rPr>
        <w:t xml:space="preserve">of new </w:t>
      </w:r>
      <w:r w:rsidR="001C42E3" w:rsidRPr="00267E7C">
        <w:rPr>
          <w:rFonts w:cs="Times New Roman"/>
        </w:rPr>
        <w:t>cases</w:t>
      </w:r>
      <w:r w:rsidR="001C42E3">
        <w:rPr>
          <w:rFonts w:cs="Times New Roman"/>
        </w:rPr>
        <w:t xml:space="preserve"> of HIV</w:t>
      </w:r>
      <w:r w:rsidR="001C42E3" w:rsidRPr="00267E7C">
        <w:rPr>
          <w:rFonts w:cs="Times New Roman"/>
        </w:rPr>
        <w:t xml:space="preserve"> were related to heterosexual contacts; 1,9% – </w:t>
      </w:r>
      <w:r w:rsidR="001C42E3">
        <w:rPr>
          <w:rFonts w:cs="Times New Roman"/>
        </w:rPr>
        <w:t>homosexual contacts;</w:t>
      </w:r>
      <w:r w:rsidR="001C42E3" w:rsidRPr="00267E7C">
        <w:rPr>
          <w:rFonts w:cs="Times New Roman"/>
        </w:rPr>
        <w:t xml:space="preserve"> and </w:t>
      </w:r>
      <w:r w:rsidR="001C42E3" w:rsidRPr="007601B2">
        <w:rPr>
          <w:rFonts w:cs="Times New Roman"/>
        </w:rPr>
        <w:t>46,6% – were due to unsafe injecting of illicit drugs</w:t>
      </w:r>
      <w:r w:rsidR="001C42E3" w:rsidRPr="00267E7C">
        <w:rPr>
          <w:rFonts w:cs="Times New Roman"/>
        </w:rPr>
        <w:t>.</w:t>
      </w:r>
      <w:r w:rsidR="001C42E3" w:rsidRPr="00267E7C">
        <w:rPr>
          <w:rFonts w:eastAsia="Times New Roman" w:cs="Times New Roman"/>
          <w:lang w:val="en-GB"/>
        </w:rPr>
        <w:t xml:space="preserve"> </w:t>
      </w:r>
      <w:r w:rsidR="001C42E3">
        <w:rPr>
          <w:rFonts w:eastAsia="Times New Roman" w:cs="Times New Roman"/>
          <w:lang w:val="en-GB"/>
        </w:rPr>
        <w:t>Thus, p</w:t>
      </w:r>
      <w:r w:rsidR="001C42E3" w:rsidRPr="00267E7C">
        <w:rPr>
          <w:rFonts w:eastAsia="Times New Roman" w:cs="Times New Roman"/>
          <w:lang w:val="en-GB"/>
        </w:rPr>
        <w:t>eople who inject drugs (PWID)</w:t>
      </w:r>
      <w:r w:rsidR="007601B2">
        <w:rPr>
          <w:rFonts w:eastAsia="Times New Roman" w:cs="Times New Roman"/>
          <w:lang w:val="en-GB"/>
        </w:rPr>
        <w:t>, sex workers (SW), and men who have sex with men (MSM)</w:t>
      </w:r>
      <w:r w:rsidR="00434BDE">
        <w:rPr>
          <w:rFonts w:eastAsia="Times New Roman" w:cs="Times New Roman"/>
          <w:lang w:val="en-GB"/>
        </w:rPr>
        <w:t xml:space="preserve"> </w:t>
      </w:r>
      <w:r w:rsidR="001C42E3" w:rsidRPr="00267E7C">
        <w:rPr>
          <w:rFonts w:eastAsia="Times New Roman" w:cs="Times New Roman"/>
          <w:lang w:val="en-GB"/>
        </w:rPr>
        <w:t>remain the groups most affected and vulnerable to HIV</w:t>
      </w:r>
      <w:r w:rsidR="001C42E3" w:rsidRPr="00267E7C">
        <w:rPr>
          <w:rFonts w:cs="Times New Roman"/>
        </w:rPr>
        <w:t>.</w:t>
      </w:r>
      <w:r w:rsidR="001C42E3" w:rsidRPr="00267E7C">
        <w:rPr>
          <w:rStyle w:val="af0"/>
          <w:rFonts w:cs="Times New Roman"/>
        </w:rPr>
        <w:endnoteReference w:id="8"/>
      </w:r>
      <w:r w:rsidR="001C42E3">
        <w:rPr>
          <w:rFonts w:cs="Times New Roman"/>
        </w:rPr>
        <w:t xml:space="preserve"> </w:t>
      </w:r>
    </w:p>
    <w:p w14:paraId="4375DA20" w14:textId="7E541020" w:rsidR="001C42E3" w:rsidRDefault="00D644CF" w:rsidP="002F756D">
      <w:pPr>
        <w:spacing w:before="100" w:beforeAutospacing="1" w:after="100" w:afterAutospacing="1" w:line="360" w:lineRule="auto"/>
        <w:rPr>
          <w:rFonts w:eastAsia="Times New Roman" w:cs="Times New Roman"/>
          <w:b/>
          <w:lang w:val="en-GB"/>
        </w:rPr>
      </w:pPr>
      <w:r w:rsidRPr="00B775A3">
        <w:rPr>
          <w:rFonts w:eastAsia="Times New Roman" w:cs="Times New Roman"/>
          <w:b/>
          <w:lang w:val="en-GB"/>
        </w:rPr>
        <w:t>IMPLEMENTATION OF THESE RECOMMENDATIO</w:t>
      </w:r>
      <w:r>
        <w:rPr>
          <w:rFonts w:eastAsia="Times New Roman" w:cs="Times New Roman"/>
          <w:b/>
          <w:lang w:val="en-GB"/>
        </w:rPr>
        <w:t>NS BY RUSSIA WITH RESPECT TO MDR/RR-TB</w:t>
      </w:r>
    </w:p>
    <w:p w14:paraId="57FB0234" w14:textId="3279EF5A" w:rsidR="001C42E3" w:rsidRPr="00082B84" w:rsidRDefault="002F756D" w:rsidP="002F756D">
      <w:pPr>
        <w:spacing w:before="100" w:beforeAutospacing="1" w:after="100" w:afterAutospacing="1" w:line="360" w:lineRule="auto"/>
        <w:rPr>
          <w:rFonts w:eastAsia="Times New Roman" w:cs="Times New Roman"/>
          <w:lang w:val="en-GB"/>
        </w:rPr>
      </w:pPr>
      <w:r>
        <w:rPr>
          <w:rFonts w:eastAsia="Times New Roman" w:cs="Times New Roman"/>
          <w:lang w:val="en-GB"/>
        </w:rPr>
        <w:lastRenderedPageBreak/>
        <w:t xml:space="preserve">12. </w:t>
      </w:r>
      <w:r w:rsidR="001C42E3" w:rsidRPr="00082B84">
        <w:rPr>
          <w:rFonts w:eastAsia="Times New Roman" w:cs="Times New Roman"/>
          <w:lang w:val="en-GB"/>
        </w:rPr>
        <w:t xml:space="preserve">The Russian Federation failed to implement the </w:t>
      </w:r>
      <w:r w:rsidR="001C42E3">
        <w:rPr>
          <w:rFonts w:eastAsia="Times New Roman" w:cs="Times New Roman"/>
          <w:lang w:val="en-GB"/>
        </w:rPr>
        <w:t xml:space="preserve">above mentioned </w:t>
      </w:r>
      <w:r w:rsidR="001C42E3" w:rsidRPr="00082B84">
        <w:rPr>
          <w:rFonts w:eastAsia="Times New Roman" w:cs="Times New Roman"/>
          <w:lang w:val="en-GB"/>
        </w:rPr>
        <w:t>recommendations</w:t>
      </w:r>
      <w:r w:rsidR="001C42E3">
        <w:rPr>
          <w:rFonts w:eastAsia="Times New Roman" w:cs="Times New Roman"/>
          <w:lang w:val="en-GB"/>
        </w:rPr>
        <w:t xml:space="preserve"> with respect to MDR/RR-TB.</w:t>
      </w:r>
    </w:p>
    <w:p w14:paraId="1FB146A0" w14:textId="02C12DAC" w:rsidR="001C42E3" w:rsidRDefault="002F756D" w:rsidP="002F756D">
      <w:pPr>
        <w:widowControl w:val="0"/>
        <w:autoSpaceDE w:val="0"/>
        <w:autoSpaceDN w:val="0"/>
        <w:adjustRightInd w:val="0"/>
        <w:spacing w:before="100" w:beforeAutospacing="1" w:after="100" w:afterAutospacing="1" w:line="360" w:lineRule="auto"/>
      </w:pPr>
      <w:r>
        <w:t xml:space="preserve">13. </w:t>
      </w:r>
      <w:r w:rsidR="00434BDE">
        <w:t xml:space="preserve">The </w:t>
      </w:r>
      <w:r w:rsidR="001C42E3">
        <w:t>Russia</w:t>
      </w:r>
      <w:r w:rsidR="00434BDE">
        <w:t>n Federation is a third after Lesotho and Namibia with</w:t>
      </w:r>
      <w:r w:rsidR="001C42E3">
        <w:t xml:space="preserve"> the highest rate of MDR/RR-TB in the world. World Health Organization (WHO) estimates that Russia has a rate of 42 cases of MDR/RR-TB per 100,000 people; India - 9.9 cases; and China -5.1 cases.</w:t>
      </w:r>
      <w:r w:rsidR="001C42E3">
        <w:rPr>
          <w:rStyle w:val="af0"/>
        </w:rPr>
        <w:endnoteReference w:id="9"/>
      </w:r>
      <w:r w:rsidR="001C42E3" w:rsidRPr="00B775A3">
        <w:t xml:space="preserve"> </w:t>
      </w:r>
    </w:p>
    <w:p w14:paraId="50CB174D" w14:textId="5164A3F2" w:rsidR="001C42E3" w:rsidRDefault="002F756D" w:rsidP="002F756D">
      <w:pPr>
        <w:widowControl w:val="0"/>
        <w:autoSpaceDE w:val="0"/>
        <w:autoSpaceDN w:val="0"/>
        <w:adjustRightInd w:val="0"/>
        <w:spacing w:before="100" w:beforeAutospacing="1" w:after="100" w:afterAutospacing="1" w:line="360" w:lineRule="auto"/>
      </w:pPr>
      <w:r>
        <w:t xml:space="preserve">14. </w:t>
      </w:r>
      <w:r w:rsidR="001C42E3">
        <w:t>Russia, India, and China are responsible for 45% of all MDR-TB cases in the world.</w:t>
      </w:r>
      <w:r w:rsidR="001C42E3" w:rsidRPr="00F24977">
        <w:rPr>
          <w:rStyle w:val="af0"/>
        </w:rPr>
        <w:t xml:space="preserve"> </w:t>
      </w:r>
      <w:r w:rsidR="001C42E3">
        <w:rPr>
          <w:rStyle w:val="af0"/>
        </w:rPr>
        <w:endnoteReference w:id="10"/>
      </w:r>
    </w:p>
    <w:p w14:paraId="30C0436F" w14:textId="1CF25A26" w:rsidR="001C42E3" w:rsidRDefault="002F756D" w:rsidP="002F756D">
      <w:pPr>
        <w:spacing w:before="100" w:beforeAutospacing="1" w:after="100" w:afterAutospacing="1" w:line="360" w:lineRule="auto"/>
        <w:ind w:left="-30"/>
        <w:jc w:val="both"/>
      </w:pPr>
      <w:r>
        <w:t xml:space="preserve">15. </w:t>
      </w:r>
      <w:r w:rsidR="001C42E3">
        <w:t>Official Russian statistics for 2015 shows 178, 080 people officially registered as living with TB; of them 37, 925 had MDR-TB.</w:t>
      </w:r>
      <w:r w:rsidR="001C42E3">
        <w:rPr>
          <w:vertAlign w:val="superscript"/>
        </w:rPr>
        <w:endnoteReference w:id="11"/>
      </w:r>
      <w:r w:rsidR="001C42E3">
        <w:t xml:space="preserve"> There is a stable annual growth of MDR-TB patients in Russia, from 17.1% of all TB patients in 2010 to 27,3% in 2016.</w:t>
      </w:r>
      <w:r w:rsidR="001C42E3">
        <w:rPr>
          <w:vertAlign w:val="superscript"/>
        </w:rPr>
        <w:endnoteReference w:id="12"/>
      </w:r>
    </w:p>
    <w:p w14:paraId="12965173" w14:textId="1879387A" w:rsidR="001C42E3" w:rsidRDefault="002F756D" w:rsidP="002F756D">
      <w:pPr>
        <w:spacing w:before="100" w:beforeAutospacing="1" w:after="100" w:afterAutospacing="1" w:line="360" w:lineRule="auto"/>
        <w:ind w:left="-30"/>
        <w:jc w:val="both"/>
      </w:pPr>
      <w:r>
        <w:t xml:space="preserve">16. </w:t>
      </w:r>
      <w:r w:rsidR="001C42E3">
        <w:t>More than 40% of all people died of TB in Russia in 2015 had MDR-TB.</w:t>
      </w:r>
      <w:r w:rsidR="001C42E3">
        <w:rPr>
          <w:vertAlign w:val="superscript"/>
        </w:rPr>
        <w:endnoteReference w:id="13"/>
      </w:r>
      <w:r w:rsidR="001C42E3">
        <w:t xml:space="preserve"> According to one official health institution, the number of TB cases decrease mostly because of the deaths of people living with TB, in particular of people living with combined HIV and TB.</w:t>
      </w:r>
      <w:r w:rsidR="001C42E3">
        <w:rPr>
          <w:vertAlign w:val="superscript"/>
        </w:rPr>
        <w:endnoteReference w:id="14"/>
      </w:r>
    </w:p>
    <w:p w14:paraId="604148D9" w14:textId="45733BBB" w:rsidR="001C42E3" w:rsidRPr="000B2D5A" w:rsidRDefault="00D644CF" w:rsidP="002F756D">
      <w:pPr>
        <w:spacing w:before="100" w:beforeAutospacing="1" w:after="100" w:afterAutospacing="1" w:line="360" w:lineRule="auto"/>
        <w:rPr>
          <w:rFonts w:eastAsia="Times New Roman" w:cs="Times New Roman"/>
          <w:b/>
          <w:lang w:val="en-GB"/>
        </w:rPr>
      </w:pPr>
      <w:r w:rsidRPr="000B2D5A">
        <w:rPr>
          <w:rFonts w:eastAsia="Times New Roman" w:cs="Times New Roman"/>
          <w:b/>
          <w:lang w:val="en-GB"/>
        </w:rPr>
        <w:t>THE MAJOR REASON FOR FAILURES TO IMPLEMENT UPR RECOMMENDATIONS</w:t>
      </w:r>
    </w:p>
    <w:p w14:paraId="2310DC6D" w14:textId="0C52BB7F" w:rsidR="007601B2" w:rsidRDefault="002F756D" w:rsidP="002F756D">
      <w:pPr>
        <w:spacing w:before="100" w:beforeAutospacing="1" w:after="100" w:afterAutospacing="1" w:line="360" w:lineRule="auto"/>
        <w:rPr>
          <w:rFonts w:eastAsia="Times New Roman" w:cs="Times New Roman"/>
          <w:lang w:val="en-GB"/>
        </w:rPr>
      </w:pPr>
      <w:r>
        <w:rPr>
          <w:rFonts w:eastAsia="Times New Roman" w:cs="Times New Roman"/>
          <w:lang w:val="en-GB"/>
        </w:rPr>
        <w:t xml:space="preserve">17. </w:t>
      </w:r>
      <w:r w:rsidR="007601B2" w:rsidRPr="000B2D5A">
        <w:rPr>
          <w:rFonts w:eastAsia="Times New Roman" w:cs="Times New Roman"/>
          <w:lang w:val="en-GB"/>
        </w:rPr>
        <w:t>According to UNAIDS, HIV epidemic in Russia is an epidemic of stigma and discrimination.</w:t>
      </w:r>
      <w:r w:rsidR="007601B2">
        <w:rPr>
          <w:rStyle w:val="af0"/>
          <w:rFonts w:eastAsia="Times New Roman" w:cs="Times New Roman"/>
          <w:lang w:val="en-GB"/>
        </w:rPr>
        <w:endnoteReference w:id="15"/>
      </w:r>
      <w:r w:rsidR="007601B2">
        <w:rPr>
          <w:rFonts w:eastAsia="Times New Roman" w:cs="Times New Roman"/>
          <w:lang w:val="en-GB"/>
        </w:rPr>
        <w:t xml:space="preserve"> This extends to the above</w:t>
      </w:r>
      <w:r w:rsidR="00AC3E8B">
        <w:rPr>
          <w:rFonts w:eastAsia="Times New Roman" w:cs="Times New Roman"/>
          <w:lang w:val="en-GB"/>
        </w:rPr>
        <w:t>-</w:t>
      </w:r>
      <w:r w:rsidR="007601B2">
        <w:rPr>
          <w:rFonts w:eastAsia="Times New Roman" w:cs="Times New Roman"/>
          <w:lang w:val="en-GB"/>
        </w:rPr>
        <w:t>mentioned three groups of the most affected populations.</w:t>
      </w:r>
    </w:p>
    <w:p w14:paraId="7BB715DD" w14:textId="4F5B17C7" w:rsidR="00D644CF" w:rsidRDefault="007601B2" w:rsidP="002F756D">
      <w:pPr>
        <w:spacing w:before="100" w:beforeAutospacing="1" w:after="100" w:afterAutospacing="1" w:line="360" w:lineRule="auto"/>
        <w:rPr>
          <w:rFonts w:eastAsia="Times New Roman" w:cs="Times New Roman"/>
          <w:vertAlign w:val="superscript"/>
          <w:lang w:val="en-GB"/>
        </w:rPr>
      </w:pPr>
      <w:r>
        <w:rPr>
          <w:rFonts w:eastAsia="Times New Roman" w:cs="Times New Roman"/>
          <w:lang w:val="en-GB"/>
        </w:rPr>
        <w:t xml:space="preserve">18. </w:t>
      </w:r>
      <w:r w:rsidR="00D644CF" w:rsidRPr="00551409">
        <w:rPr>
          <w:rFonts w:eastAsia="Times New Roman" w:cs="Times New Roman"/>
          <w:lang w:val="en-GB"/>
        </w:rPr>
        <w:t xml:space="preserve">Stigma and discrimination against PWID is </w:t>
      </w:r>
      <w:r w:rsidR="00D644CF">
        <w:rPr>
          <w:rFonts w:eastAsia="Times New Roman" w:cs="Times New Roman"/>
          <w:lang w:val="en-GB"/>
        </w:rPr>
        <w:t>a major driver for HIV and MDR/RR</w:t>
      </w:r>
      <w:r w:rsidR="00AC3E8B">
        <w:rPr>
          <w:rFonts w:eastAsia="Times New Roman" w:cs="Times New Roman"/>
          <w:lang w:val="en-GB"/>
        </w:rPr>
        <w:t xml:space="preserve">-TB, in particular because </w:t>
      </w:r>
      <w:r w:rsidR="00D644CF">
        <w:rPr>
          <w:rFonts w:eastAsia="Times New Roman" w:cs="Times New Roman"/>
          <w:lang w:val="en-GB"/>
        </w:rPr>
        <w:t xml:space="preserve">PWID suffer legal persecution, massive imprisonment, and the lack of access to </w:t>
      </w:r>
      <w:r w:rsidR="00D644CF" w:rsidRPr="00551409">
        <w:rPr>
          <w:color w:val="000000" w:themeColor="text1"/>
        </w:rPr>
        <w:t xml:space="preserve">evidence based </w:t>
      </w:r>
      <w:r w:rsidR="00D644CF">
        <w:rPr>
          <w:color w:val="000000" w:themeColor="text1"/>
        </w:rPr>
        <w:t xml:space="preserve">HIV and TB prevention, treatment and care </w:t>
      </w:r>
      <w:r w:rsidR="00D644CF" w:rsidRPr="00551409">
        <w:rPr>
          <w:color w:val="000000" w:themeColor="text1"/>
        </w:rPr>
        <w:t>services for patients with drug dependence</w:t>
      </w:r>
      <w:r w:rsidR="00D644CF">
        <w:rPr>
          <w:rFonts w:eastAsia="Times New Roman" w:cs="Times New Roman"/>
          <w:lang w:val="en-GB"/>
        </w:rPr>
        <w:t xml:space="preserve">. </w:t>
      </w:r>
      <w:r w:rsidR="00D644CF" w:rsidRPr="001D034B">
        <w:rPr>
          <w:rStyle w:val="af0"/>
          <w:color w:val="000000" w:themeColor="text1"/>
        </w:rPr>
        <w:endnoteReference w:id="16"/>
      </w:r>
      <w:r w:rsidR="00D644CF" w:rsidRPr="0043480A">
        <w:rPr>
          <w:rFonts w:eastAsia="Times New Roman" w:cs="Times New Roman"/>
          <w:vertAlign w:val="superscript"/>
          <w:lang w:val="en-GB"/>
        </w:rPr>
        <w:t>,</w:t>
      </w:r>
      <w:r w:rsidR="00D644CF">
        <w:rPr>
          <w:rStyle w:val="af0"/>
          <w:rFonts w:eastAsia="Times New Roman" w:cs="Times New Roman"/>
          <w:lang w:val="en-GB"/>
        </w:rPr>
        <w:endnoteReference w:id="17"/>
      </w:r>
    </w:p>
    <w:p w14:paraId="28BD9916" w14:textId="70449AF9" w:rsidR="000070FE" w:rsidRDefault="007601B2" w:rsidP="002F756D">
      <w:pPr>
        <w:spacing w:before="100" w:beforeAutospacing="1" w:after="100" w:afterAutospacing="1" w:line="360" w:lineRule="auto"/>
        <w:rPr>
          <w:rFonts w:eastAsia="Times New Roman" w:cs="Times New Roman"/>
          <w:lang w:val="en-GB"/>
        </w:rPr>
      </w:pPr>
      <w:r>
        <w:rPr>
          <w:rFonts w:eastAsia="Times New Roman" w:cs="Times New Roman"/>
          <w:lang w:val="en-GB"/>
        </w:rPr>
        <w:t xml:space="preserve">19. Stigma and discrimination against SW is the major driver for HIV and sexually transmitted diseases among SW because they suffer legal persecution, police </w:t>
      </w:r>
      <w:r w:rsidR="00E96729">
        <w:rPr>
          <w:rFonts w:eastAsia="Times New Roman" w:cs="Times New Roman"/>
          <w:lang w:val="en-GB"/>
        </w:rPr>
        <w:t>harassment</w:t>
      </w:r>
      <w:r>
        <w:rPr>
          <w:rFonts w:eastAsia="Times New Roman" w:cs="Times New Roman"/>
          <w:lang w:val="en-GB"/>
        </w:rPr>
        <w:t>, violence from their clients and often from police, and the lack of legal protection. Being legally outcast due to the legal ban on sex work, SW</w:t>
      </w:r>
      <w:r w:rsidR="00AC3E8B">
        <w:rPr>
          <w:rFonts w:eastAsia="Times New Roman" w:cs="Times New Roman"/>
          <w:lang w:val="en-GB"/>
        </w:rPr>
        <w:t>s are</w:t>
      </w:r>
      <w:r>
        <w:rPr>
          <w:rFonts w:eastAsia="Times New Roman" w:cs="Times New Roman"/>
          <w:lang w:val="en-GB"/>
        </w:rPr>
        <w:t xml:space="preserve"> put in a position when the government stripes them of any legal protection and personal security</w:t>
      </w:r>
      <w:r w:rsidR="00AC3E8B">
        <w:rPr>
          <w:rFonts w:eastAsia="Times New Roman" w:cs="Times New Roman"/>
          <w:lang w:val="en-GB"/>
        </w:rPr>
        <w:t>. L</w:t>
      </w:r>
      <w:r>
        <w:rPr>
          <w:rFonts w:eastAsia="Times New Roman" w:cs="Times New Roman"/>
          <w:lang w:val="en-GB"/>
        </w:rPr>
        <w:t xml:space="preserve">aw enforcement </w:t>
      </w:r>
      <w:r w:rsidR="00E96729">
        <w:rPr>
          <w:rFonts w:eastAsia="Times New Roman" w:cs="Times New Roman"/>
          <w:lang w:val="en-GB"/>
        </w:rPr>
        <w:t>harassment</w:t>
      </w:r>
      <w:r>
        <w:rPr>
          <w:rFonts w:eastAsia="Times New Roman" w:cs="Times New Roman"/>
          <w:lang w:val="en-GB"/>
        </w:rPr>
        <w:t xml:space="preserve"> and</w:t>
      </w:r>
      <w:r w:rsidR="00983E10">
        <w:rPr>
          <w:rFonts w:eastAsia="Times New Roman" w:cs="Times New Roman"/>
          <w:lang w:val="en-GB"/>
        </w:rPr>
        <w:t xml:space="preserve"> police raids increase vulnerability of SW</w:t>
      </w:r>
      <w:r w:rsidR="00AC3E8B">
        <w:rPr>
          <w:rFonts w:eastAsia="Times New Roman" w:cs="Times New Roman"/>
          <w:lang w:val="en-GB"/>
        </w:rPr>
        <w:t xml:space="preserve"> to HIV</w:t>
      </w:r>
      <w:r w:rsidR="00983E10">
        <w:rPr>
          <w:rFonts w:eastAsia="Times New Roman" w:cs="Times New Roman"/>
          <w:lang w:val="en-GB"/>
        </w:rPr>
        <w:t>.</w:t>
      </w:r>
      <w:r w:rsidR="000070FE">
        <w:rPr>
          <w:rFonts w:eastAsia="Times New Roman" w:cs="Times New Roman"/>
          <w:lang w:val="en-GB"/>
        </w:rPr>
        <w:t xml:space="preserve"> </w:t>
      </w:r>
      <w:r w:rsidR="000070FE" w:rsidRPr="000070FE">
        <w:rPr>
          <w:rFonts w:eastAsia="Times New Roman" w:cs="Times New Roman"/>
          <w:lang w:val="en-GB"/>
        </w:rPr>
        <w:t xml:space="preserve">The government does not provide any support to researches and HIV prevention programs among </w:t>
      </w:r>
      <w:r w:rsidR="000070FE">
        <w:rPr>
          <w:rFonts w:eastAsia="Times New Roman" w:cs="Times New Roman"/>
          <w:lang w:val="en-GB"/>
        </w:rPr>
        <w:t>SW.</w:t>
      </w:r>
    </w:p>
    <w:p w14:paraId="2E4632F0" w14:textId="0CA6A747" w:rsidR="00983E10" w:rsidRDefault="00983E10" w:rsidP="002F756D">
      <w:pPr>
        <w:spacing w:before="100" w:beforeAutospacing="1" w:after="100" w:afterAutospacing="1" w:line="360" w:lineRule="auto"/>
        <w:rPr>
          <w:rFonts w:eastAsia="Times New Roman" w:cs="Times New Roman"/>
          <w:lang w:val="en-GB"/>
        </w:rPr>
      </w:pPr>
      <w:r>
        <w:rPr>
          <w:rFonts w:eastAsia="Times New Roman" w:cs="Times New Roman"/>
          <w:lang w:val="en-GB"/>
        </w:rPr>
        <w:lastRenderedPageBreak/>
        <w:t>20. Stigma and discrimination is a major driver for HIV among MSM due to the fact that the state-sponsored anti-gay propaganda laws drive MSM out of HIV prevention and treatment services. These laws fuel violence against MSM and prevent distribution of HIV prevention information among MSM through internet. The government does not provide any support to researches and HIV prevention programs among MSM.</w:t>
      </w:r>
    </w:p>
    <w:p w14:paraId="661028C3" w14:textId="49CBB55C" w:rsidR="001C42E3" w:rsidRPr="00B775A3" w:rsidRDefault="00D644CF" w:rsidP="002F756D">
      <w:pPr>
        <w:spacing w:before="100" w:beforeAutospacing="1" w:after="100" w:afterAutospacing="1" w:line="360" w:lineRule="auto"/>
        <w:rPr>
          <w:rFonts w:eastAsia="Times New Roman" w:cs="Times New Roman"/>
          <w:b/>
          <w:lang w:val="en-GB"/>
        </w:rPr>
      </w:pPr>
      <w:r>
        <w:rPr>
          <w:rFonts w:eastAsia="Times New Roman" w:cs="Times New Roman"/>
          <w:b/>
          <w:lang w:val="en-GB"/>
        </w:rPr>
        <w:t xml:space="preserve">UPR </w:t>
      </w:r>
      <w:r w:rsidRPr="00B775A3">
        <w:rPr>
          <w:rFonts w:eastAsia="Times New Roman" w:cs="Times New Roman"/>
          <w:b/>
          <w:lang w:val="en-GB"/>
        </w:rPr>
        <w:t>RECOMMENDATIONS</w:t>
      </w:r>
      <w:r>
        <w:rPr>
          <w:rFonts w:eastAsia="Times New Roman" w:cs="Times New Roman"/>
          <w:b/>
          <w:lang w:val="en-GB"/>
        </w:rPr>
        <w:t xml:space="preserve"> GIVEN TO RUSSIA DURING THE SECOND UPR CYCLE,</w:t>
      </w:r>
      <w:r w:rsidRPr="00B775A3">
        <w:rPr>
          <w:rFonts w:eastAsia="Times New Roman" w:cs="Times New Roman"/>
          <w:b/>
          <w:lang w:val="en-GB"/>
        </w:rPr>
        <w:t xml:space="preserve"> RELEVANT TO </w:t>
      </w:r>
      <w:r w:rsidR="00223F38">
        <w:rPr>
          <w:rFonts w:eastAsia="Times New Roman" w:cs="Times New Roman"/>
          <w:b/>
          <w:lang w:val="en-GB"/>
        </w:rPr>
        <w:t>VULNERABLE GROUPS</w:t>
      </w:r>
      <w:r w:rsidR="00223F38" w:rsidRPr="00B775A3">
        <w:rPr>
          <w:rFonts w:eastAsia="Times New Roman" w:cs="Times New Roman"/>
          <w:b/>
          <w:lang w:val="en-GB"/>
        </w:rPr>
        <w:t>.</w:t>
      </w:r>
    </w:p>
    <w:p w14:paraId="4DAF2067" w14:textId="2F0CBF3D" w:rsidR="001C42E3" w:rsidRDefault="00667A79" w:rsidP="002F756D">
      <w:pPr>
        <w:spacing w:before="100" w:beforeAutospacing="1" w:after="100" w:afterAutospacing="1" w:line="360" w:lineRule="auto"/>
        <w:rPr>
          <w:rFonts w:eastAsia="Times New Roman" w:cs="Times New Roman"/>
          <w:lang w:val="en-GB"/>
        </w:rPr>
      </w:pPr>
      <w:r>
        <w:rPr>
          <w:rFonts w:eastAsia="Times New Roman" w:cs="Times New Roman"/>
          <w:lang w:val="en-GB"/>
        </w:rPr>
        <w:t>21</w:t>
      </w:r>
      <w:r w:rsidR="002F756D">
        <w:rPr>
          <w:rFonts w:eastAsia="Times New Roman" w:cs="Times New Roman"/>
          <w:lang w:val="en-GB"/>
        </w:rPr>
        <w:t xml:space="preserve">. </w:t>
      </w:r>
      <w:r w:rsidR="001C42E3" w:rsidRPr="00C63A8B">
        <w:rPr>
          <w:rFonts w:eastAsia="Times New Roman" w:cs="Times New Roman"/>
          <w:lang w:val="en-GB"/>
        </w:rPr>
        <w:t>Continue efforts to promote the rights of the vulnerable and marginalized groups in the country</w:t>
      </w:r>
      <w:r w:rsidR="001C42E3">
        <w:rPr>
          <w:rFonts w:eastAsia="Times New Roman" w:cs="Times New Roman"/>
          <w:lang w:val="en-GB"/>
        </w:rPr>
        <w:t xml:space="preserve"> (given by Nepal and accepted by the Russian Federation)</w:t>
      </w:r>
      <w:r w:rsidR="000B2D5A">
        <w:rPr>
          <w:rFonts w:eastAsia="Times New Roman" w:cs="Times New Roman"/>
          <w:lang w:val="en-GB"/>
        </w:rPr>
        <w:t>;</w:t>
      </w:r>
      <w:r w:rsidR="000B2D5A">
        <w:rPr>
          <w:rStyle w:val="af0"/>
          <w:rFonts w:eastAsia="Times New Roman" w:cs="Times New Roman"/>
          <w:lang w:val="en-GB"/>
        </w:rPr>
        <w:endnoteReference w:id="18"/>
      </w:r>
      <w:r w:rsidR="001C42E3">
        <w:rPr>
          <w:rFonts w:eastAsia="Times New Roman" w:cs="Times New Roman"/>
          <w:lang w:val="en-GB"/>
        </w:rPr>
        <w:t xml:space="preserve"> </w:t>
      </w:r>
    </w:p>
    <w:p w14:paraId="1A8A7B76" w14:textId="71282DC2" w:rsidR="001C42E3" w:rsidRDefault="00667A79" w:rsidP="002F756D">
      <w:pPr>
        <w:spacing w:before="100" w:beforeAutospacing="1" w:after="100" w:afterAutospacing="1" w:line="360" w:lineRule="auto"/>
        <w:rPr>
          <w:rFonts w:eastAsia="Times New Roman" w:cs="Times New Roman"/>
          <w:lang w:val="en-GB"/>
        </w:rPr>
      </w:pPr>
      <w:r>
        <w:rPr>
          <w:rFonts w:eastAsia="Times New Roman" w:cs="Times New Roman"/>
          <w:lang w:val="en-GB"/>
        </w:rPr>
        <w:t>22</w:t>
      </w:r>
      <w:r w:rsidR="002F756D">
        <w:rPr>
          <w:rFonts w:eastAsia="Times New Roman" w:cs="Times New Roman"/>
          <w:lang w:val="en-GB"/>
        </w:rPr>
        <w:t xml:space="preserve">. </w:t>
      </w:r>
      <w:r w:rsidR="001C42E3" w:rsidRPr="00B775A3">
        <w:rPr>
          <w:rFonts w:eastAsia="Times New Roman" w:cs="Times New Roman"/>
          <w:lang w:val="en-GB"/>
        </w:rPr>
        <w:t>Carry on its efforts to protect the rights of vulnerable groups including children and persons with disabilities</w:t>
      </w:r>
      <w:r w:rsidR="001C42E3">
        <w:rPr>
          <w:rFonts w:eastAsia="Times New Roman" w:cs="Times New Roman"/>
          <w:lang w:val="en-GB"/>
        </w:rPr>
        <w:t xml:space="preserve"> (given by </w:t>
      </w:r>
      <w:r w:rsidR="00D644CF">
        <w:rPr>
          <w:rFonts w:eastAsia="Times New Roman" w:cs="Times New Roman"/>
          <w:lang w:val="en-GB"/>
        </w:rPr>
        <w:t>Greece</w:t>
      </w:r>
      <w:r w:rsidR="001C42E3">
        <w:rPr>
          <w:rFonts w:eastAsia="Times New Roman" w:cs="Times New Roman"/>
          <w:lang w:val="en-GB"/>
        </w:rPr>
        <w:t xml:space="preserve"> and accepted by the Russian Federation)</w:t>
      </w:r>
      <w:r w:rsidR="000B2D5A">
        <w:rPr>
          <w:rFonts w:eastAsia="Times New Roman" w:cs="Times New Roman"/>
          <w:lang w:val="en-GB"/>
        </w:rPr>
        <w:t>.</w:t>
      </w:r>
      <w:r w:rsidR="000B2D5A">
        <w:rPr>
          <w:rStyle w:val="af0"/>
          <w:rFonts w:eastAsia="Times New Roman" w:cs="Times New Roman"/>
          <w:lang w:val="en-GB"/>
        </w:rPr>
        <w:endnoteReference w:id="19"/>
      </w:r>
    </w:p>
    <w:p w14:paraId="26F95E91" w14:textId="591EC00A" w:rsidR="00223F38" w:rsidRDefault="00667A79" w:rsidP="002F756D">
      <w:pPr>
        <w:spacing w:before="100" w:beforeAutospacing="1" w:after="100" w:afterAutospacing="1" w:line="360" w:lineRule="auto"/>
        <w:rPr>
          <w:rFonts w:eastAsia="Times New Roman" w:cs="Times New Roman"/>
          <w:lang w:val="en-GB"/>
        </w:rPr>
      </w:pPr>
      <w:r>
        <w:rPr>
          <w:rFonts w:eastAsia="Times New Roman" w:cs="Times New Roman"/>
          <w:lang w:val="en-GB"/>
        </w:rPr>
        <w:t xml:space="preserve">23. </w:t>
      </w:r>
      <w:r w:rsidR="00223F38">
        <w:rPr>
          <w:rFonts w:eastAsia="Times New Roman" w:cs="Times New Roman"/>
          <w:lang w:val="en-GB"/>
        </w:rPr>
        <w:t>Many countries made recommendations regarding the need to intensify the protection of human rights of women. The Russian Federation accepted the majority of these recommendations.</w:t>
      </w:r>
      <w:r w:rsidR="005211FE">
        <w:rPr>
          <w:rStyle w:val="af0"/>
          <w:rFonts w:eastAsia="Times New Roman" w:cs="Times New Roman"/>
          <w:lang w:val="en-GB"/>
        </w:rPr>
        <w:endnoteReference w:id="20"/>
      </w:r>
      <w:r w:rsidR="00223F38">
        <w:rPr>
          <w:rFonts w:eastAsia="Times New Roman" w:cs="Times New Roman"/>
          <w:lang w:val="en-GB"/>
        </w:rPr>
        <w:t xml:space="preserve"> These recommendations are relevant to SW and women who use drugs.</w:t>
      </w:r>
    </w:p>
    <w:p w14:paraId="3F29A3B6" w14:textId="7AD4475C" w:rsidR="00223F38" w:rsidRDefault="00667A79" w:rsidP="002F756D">
      <w:pPr>
        <w:spacing w:before="100" w:beforeAutospacing="1" w:after="100" w:afterAutospacing="1" w:line="360" w:lineRule="auto"/>
        <w:rPr>
          <w:rFonts w:eastAsia="Times New Roman" w:cs="Times New Roman"/>
          <w:lang w:val="en-GB"/>
        </w:rPr>
      </w:pPr>
      <w:r>
        <w:rPr>
          <w:rFonts w:eastAsia="Times New Roman" w:cs="Times New Roman"/>
          <w:lang w:val="en-GB"/>
        </w:rPr>
        <w:t xml:space="preserve">24. </w:t>
      </w:r>
      <w:r w:rsidR="00223F38">
        <w:rPr>
          <w:rFonts w:eastAsia="Times New Roman" w:cs="Times New Roman"/>
          <w:lang w:val="en-GB"/>
        </w:rPr>
        <w:t>Many countries made recommendations regarding non-discrimination of LGBT. The Russian Federation accepted some of these recommendations.</w:t>
      </w:r>
      <w:r w:rsidR="008A1BFA">
        <w:rPr>
          <w:rStyle w:val="af0"/>
          <w:rFonts w:eastAsia="Times New Roman" w:cs="Times New Roman"/>
          <w:lang w:val="en-GB"/>
        </w:rPr>
        <w:endnoteReference w:id="21"/>
      </w:r>
      <w:r w:rsidR="00223F38">
        <w:rPr>
          <w:rFonts w:eastAsia="Times New Roman" w:cs="Times New Roman"/>
          <w:lang w:val="en-GB"/>
        </w:rPr>
        <w:t xml:space="preserve"> These recommendations are relevant to MSM.</w:t>
      </w:r>
    </w:p>
    <w:p w14:paraId="5C7E1808" w14:textId="1A78B92B" w:rsidR="001C42E3" w:rsidRDefault="00D644CF" w:rsidP="002F756D">
      <w:pPr>
        <w:spacing w:before="100" w:beforeAutospacing="1" w:after="100" w:afterAutospacing="1" w:line="360" w:lineRule="auto"/>
        <w:rPr>
          <w:rFonts w:eastAsia="Times New Roman" w:cs="Times New Roman"/>
          <w:lang w:val="en-GB"/>
        </w:rPr>
      </w:pPr>
      <w:r w:rsidRPr="000525B4">
        <w:rPr>
          <w:rFonts w:eastAsia="Times New Roman" w:cs="Times New Roman"/>
          <w:b/>
          <w:lang w:val="en-GB"/>
        </w:rPr>
        <w:t xml:space="preserve">IMPLEMENTATION OF </w:t>
      </w:r>
      <w:r w:rsidR="001F24DE">
        <w:rPr>
          <w:rFonts w:eastAsia="Times New Roman" w:cs="Times New Roman"/>
          <w:b/>
          <w:lang w:val="en-GB"/>
        </w:rPr>
        <w:t xml:space="preserve">UPR </w:t>
      </w:r>
      <w:r w:rsidRPr="000525B4">
        <w:rPr>
          <w:rFonts w:eastAsia="Times New Roman" w:cs="Times New Roman"/>
          <w:b/>
          <w:lang w:val="en-GB"/>
        </w:rPr>
        <w:t>RECOMMENDATIONS</w:t>
      </w:r>
      <w:r w:rsidR="000070FE">
        <w:rPr>
          <w:rFonts w:eastAsia="Times New Roman" w:cs="Times New Roman"/>
          <w:b/>
          <w:lang w:val="en-GB"/>
        </w:rPr>
        <w:t xml:space="preserve"> WITH RESPECT TO PWID</w:t>
      </w:r>
      <w:r>
        <w:rPr>
          <w:rFonts w:eastAsia="Times New Roman" w:cs="Times New Roman"/>
          <w:lang w:val="en-GB"/>
        </w:rPr>
        <w:t>.</w:t>
      </w:r>
    </w:p>
    <w:p w14:paraId="3C0646BC" w14:textId="4F509785" w:rsidR="001C42E3" w:rsidRDefault="002F756D" w:rsidP="002F756D">
      <w:pPr>
        <w:spacing w:before="100" w:beforeAutospacing="1" w:after="100" w:afterAutospacing="1" w:line="360" w:lineRule="auto"/>
        <w:rPr>
          <w:rFonts w:eastAsia="Times New Roman" w:cs="Times New Roman"/>
          <w:lang w:val="en-GB"/>
        </w:rPr>
      </w:pPr>
      <w:r>
        <w:rPr>
          <w:rFonts w:eastAsia="Times New Roman" w:cs="Times New Roman"/>
          <w:lang w:val="en-GB"/>
        </w:rPr>
        <w:t>2</w:t>
      </w:r>
      <w:r w:rsidR="00667A79">
        <w:rPr>
          <w:rFonts w:eastAsia="Times New Roman" w:cs="Times New Roman"/>
          <w:lang w:val="en-GB"/>
        </w:rPr>
        <w:t>5</w:t>
      </w:r>
      <w:r>
        <w:rPr>
          <w:rFonts w:eastAsia="Times New Roman" w:cs="Times New Roman"/>
          <w:lang w:val="en-GB"/>
        </w:rPr>
        <w:t xml:space="preserve">. </w:t>
      </w:r>
      <w:r w:rsidR="001C42E3">
        <w:rPr>
          <w:rFonts w:eastAsia="Times New Roman" w:cs="Times New Roman"/>
          <w:lang w:val="en-GB"/>
        </w:rPr>
        <w:t>The Russian Federation failed to implement these recommendations</w:t>
      </w:r>
      <w:r w:rsidR="0043480A">
        <w:rPr>
          <w:rFonts w:eastAsia="Times New Roman" w:cs="Times New Roman"/>
          <w:lang w:val="en-GB"/>
        </w:rPr>
        <w:t xml:space="preserve"> with respect to people who inject drugs</w:t>
      </w:r>
      <w:r w:rsidR="009B02BE">
        <w:rPr>
          <w:rFonts w:eastAsia="Times New Roman" w:cs="Times New Roman"/>
          <w:lang w:val="en-GB"/>
        </w:rPr>
        <w:t xml:space="preserve"> as a marginalized and vulnerable group</w:t>
      </w:r>
      <w:r w:rsidR="001C42E3">
        <w:rPr>
          <w:rFonts w:eastAsia="Times New Roman" w:cs="Times New Roman"/>
          <w:lang w:val="en-GB"/>
        </w:rPr>
        <w:t>.</w:t>
      </w:r>
    </w:p>
    <w:p w14:paraId="25BC37E0" w14:textId="1AD4EE19" w:rsidR="0043480A" w:rsidRDefault="00667A79" w:rsidP="002F756D">
      <w:pPr>
        <w:widowControl w:val="0"/>
        <w:autoSpaceDE w:val="0"/>
        <w:autoSpaceDN w:val="0"/>
        <w:adjustRightInd w:val="0"/>
        <w:spacing w:before="100" w:beforeAutospacing="1" w:after="100" w:afterAutospacing="1" w:line="360" w:lineRule="auto"/>
        <w:rPr>
          <w:rFonts w:eastAsia="Times New Roman" w:cs="Times New Roman"/>
        </w:rPr>
      </w:pPr>
      <w:r>
        <w:rPr>
          <w:rFonts w:cs="Times New Roman"/>
        </w:rPr>
        <w:t>26</w:t>
      </w:r>
      <w:r w:rsidR="002F756D">
        <w:rPr>
          <w:rFonts w:cs="Times New Roman"/>
        </w:rPr>
        <w:t xml:space="preserve">. </w:t>
      </w:r>
      <w:r w:rsidR="001C42E3">
        <w:rPr>
          <w:rFonts w:cs="Times New Roman"/>
        </w:rPr>
        <w:t>The government’s official policy towards drug use is one of “social intolerance,”</w:t>
      </w:r>
      <w:r w:rsidR="001C42E3">
        <w:rPr>
          <w:rStyle w:val="af0"/>
          <w:rFonts w:cs="Times New Roman"/>
        </w:rPr>
        <w:endnoteReference w:id="22"/>
      </w:r>
      <w:r w:rsidR="001C42E3">
        <w:rPr>
          <w:rFonts w:cs="Times New Roman"/>
        </w:rPr>
        <w:t xml:space="preserve"> which seeks to legitimize and encourage societal ill treatment of </w:t>
      </w:r>
      <w:r w:rsidR="0043480A">
        <w:rPr>
          <w:rFonts w:cs="Times New Roman"/>
        </w:rPr>
        <w:t>people who use drugs</w:t>
      </w:r>
      <w:r w:rsidR="001C42E3">
        <w:rPr>
          <w:rFonts w:cs="Times New Roman"/>
        </w:rPr>
        <w:t xml:space="preserve">. </w:t>
      </w:r>
      <w:r w:rsidR="001C42E3">
        <w:rPr>
          <w:rFonts w:eastAsia="Times New Roman" w:cs="Times New Roman"/>
          <w:color w:val="222222"/>
        </w:rPr>
        <w:t>Russian and international civil society organizations have documented</w:t>
      </w:r>
      <w:r w:rsidR="0043480A">
        <w:rPr>
          <w:rFonts w:eastAsia="Times New Roman" w:cs="Times New Roman"/>
          <w:color w:val="222222"/>
        </w:rPr>
        <w:t xml:space="preserve"> massive and grave</w:t>
      </w:r>
      <w:r w:rsidR="001C42E3">
        <w:rPr>
          <w:rFonts w:eastAsia="Times New Roman" w:cs="Times New Roman"/>
          <w:color w:val="222222"/>
        </w:rPr>
        <w:t xml:space="preserve"> human rights violations and published reports describing the impacts of Russian drug treatment and care on the human rights of PWUD,</w:t>
      </w:r>
      <w:r w:rsidR="001C42E3">
        <w:t xml:space="preserve"> </w:t>
      </w:r>
      <w:r w:rsidR="001C42E3">
        <w:rPr>
          <w:rFonts w:eastAsia="Times New Roman" w:cs="Times New Roman"/>
          <w:color w:val="222222"/>
        </w:rPr>
        <w:t>including widespread and systematic torture and ill treatment, and the</w:t>
      </w:r>
      <w:r w:rsidR="001C42E3">
        <w:rPr>
          <w:rFonts w:cs="Times New Roman"/>
        </w:rPr>
        <w:t xml:space="preserve"> denial of access to essential medicines and services</w:t>
      </w:r>
      <w:r w:rsidR="001C42E3">
        <w:rPr>
          <w:rStyle w:val="af0"/>
          <w:rFonts w:cs="Times New Roman"/>
        </w:rPr>
        <w:endnoteReference w:id="23"/>
      </w:r>
      <w:r w:rsidR="001C42E3">
        <w:rPr>
          <w:rFonts w:eastAsia="Times New Roman" w:cs="Times New Roman"/>
          <w:color w:val="222222"/>
          <w:vertAlign w:val="superscript"/>
        </w:rPr>
        <w:t>,</w:t>
      </w:r>
      <w:r w:rsidR="001C42E3">
        <w:rPr>
          <w:rStyle w:val="af0"/>
          <w:rFonts w:eastAsia="Times New Roman" w:cs="Times New Roman"/>
          <w:color w:val="222222"/>
        </w:rPr>
        <w:endnoteReference w:id="24"/>
      </w:r>
      <w:r w:rsidR="001C42E3">
        <w:rPr>
          <w:rFonts w:eastAsia="Times New Roman" w:cs="Times New Roman"/>
          <w:color w:val="222222"/>
          <w:vertAlign w:val="superscript"/>
        </w:rPr>
        <w:t>,</w:t>
      </w:r>
      <w:r w:rsidR="001C42E3">
        <w:rPr>
          <w:rStyle w:val="af0"/>
          <w:rFonts w:eastAsia="Times New Roman" w:cs="Times New Roman"/>
          <w:color w:val="222222"/>
        </w:rPr>
        <w:endnoteReference w:id="25"/>
      </w:r>
      <w:r w:rsidR="001C42E3">
        <w:rPr>
          <w:rFonts w:eastAsia="Times New Roman" w:cs="Times New Roman"/>
          <w:color w:val="222222"/>
        </w:rPr>
        <w:t xml:space="preserve"> </w:t>
      </w:r>
      <w:r w:rsidR="001C42E3">
        <w:rPr>
          <w:rFonts w:eastAsia="Times New Roman" w:cs="Times New Roman"/>
        </w:rPr>
        <w:t xml:space="preserve">As such, the Russian government treats drug use as punishable offence, rather than a health condition. </w:t>
      </w:r>
    </w:p>
    <w:p w14:paraId="620938FB" w14:textId="2EFF5541" w:rsidR="001C42E3" w:rsidRPr="0043480A" w:rsidRDefault="00667A79" w:rsidP="002F756D">
      <w:pPr>
        <w:widowControl w:val="0"/>
        <w:autoSpaceDE w:val="0"/>
        <w:autoSpaceDN w:val="0"/>
        <w:adjustRightInd w:val="0"/>
        <w:spacing w:before="100" w:beforeAutospacing="1" w:after="100" w:afterAutospacing="1" w:line="360" w:lineRule="auto"/>
        <w:rPr>
          <w:rFonts w:eastAsia="Times New Roman" w:cs="Times New Roman"/>
        </w:rPr>
      </w:pPr>
      <w:r>
        <w:rPr>
          <w:rFonts w:eastAsia="Times New Roman" w:cs="Times New Roman"/>
        </w:rPr>
        <w:lastRenderedPageBreak/>
        <w:t>27</w:t>
      </w:r>
      <w:r w:rsidR="002F756D">
        <w:rPr>
          <w:rFonts w:eastAsia="Times New Roman" w:cs="Times New Roman"/>
        </w:rPr>
        <w:t xml:space="preserve">. </w:t>
      </w:r>
      <w:r w:rsidR="001C42E3">
        <w:rPr>
          <w:rFonts w:eastAsia="Times New Roman" w:cs="Times New Roman"/>
        </w:rPr>
        <w:t xml:space="preserve">There are two cornerstones of this policy. The first is a ban on opioid substitution therapy (OST), and the preclusion of harm reduction services. The second is a criminalization of drug use and drug-use related behavior, such as the possession or illicit drugs for personal use, and the social distribution of drugs in small quantities (micro-trafficking). In 2013-2015 Russia also introduced different forms of </w:t>
      </w:r>
      <w:r w:rsidR="001C42E3">
        <w:rPr>
          <w:rFonts w:eastAsia="Times New Roman"/>
          <w:color w:val="000000" w:themeColor="text1"/>
          <w:shd w:val="clear" w:color="auto" w:fill="FFFFFF"/>
        </w:rPr>
        <w:t xml:space="preserve">coercive </w:t>
      </w:r>
      <w:r w:rsidR="001C42E3">
        <w:rPr>
          <w:color w:val="000000" w:themeColor="text1"/>
        </w:rPr>
        <w:t>treatment enforced by the criminal justice system, which is in conflict with the International Covenant on Economic, Social and Cultural Rights as it does not allow for the ability to withdraw from treatment.</w:t>
      </w:r>
      <w:r w:rsidR="001C42E3">
        <w:rPr>
          <w:rStyle w:val="af0"/>
          <w:rFonts w:eastAsia="Times New Roman"/>
          <w:color w:val="000000" w:themeColor="text1"/>
          <w:shd w:val="clear" w:color="auto" w:fill="FFFFFF"/>
        </w:rPr>
        <w:t xml:space="preserve"> </w:t>
      </w:r>
      <w:r w:rsidR="001C42E3">
        <w:rPr>
          <w:rStyle w:val="af0"/>
          <w:rFonts w:eastAsia="Times New Roman"/>
          <w:color w:val="000000" w:themeColor="text1"/>
          <w:shd w:val="clear" w:color="auto" w:fill="FFFFFF"/>
        </w:rPr>
        <w:endnoteReference w:id="26"/>
      </w:r>
      <w:r w:rsidR="001C42E3">
        <w:rPr>
          <w:rFonts w:eastAsia="Times New Roman"/>
          <w:color w:val="000000" w:themeColor="text1"/>
          <w:shd w:val="clear" w:color="auto" w:fill="FFFFFF"/>
        </w:rPr>
        <w:t xml:space="preserve"> </w:t>
      </w:r>
    </w:p>
    <w:p w14:paraId="7E8794D5" w14:textId="673BD7CD" w:rsidR="0043480A" w:rsidRDefault="00667A79" w:rsidP="002F756D">
      <w:pPr>
        <w:widowControl w:val="0"/>
        <w:autoSpaceDE w:val="0"/>
        <w:autoSpaceDN w:val="0"/>
        <w:adjustRightInd w:val="0"/>
        <w:spacing w:before="100" w:beforeAutospacing="1" w:after="100" w:afterAutospacing="1" w:line="360" w:lineRule="auto"/>
        <w:rPr>
          <w:rFonts w:eastAsia="Times New Roman"/>
          <w:color w:val="000000" w:themeColor="text1"/>
          <w:shd w:val="clear" w:color="auto" w:fill="FFFFFF"/>
        </w:rPr>
      </w:pPr>
      <w:r>
        <w:rPr>
          <w:rFonts w:eastAsia="Times New Roman"/>
          <w:color w:val="000000" w:themeColor="text1"/>
          <w:shd w:val="clear" w:color="auto" w:fill="FFFFFF"/>
        </w:rPr>
        <w:t>28</w:t>
      </w:r>
      <w:r w:rsidR="002F756D">
        <w:rPr>
          <w:rFonts w:eastAsia="Times New Roman"/>
          <w:color w:val="000000" w:themeColor="text1"/>
          <w:shd w:val="clear" w:color="auto" w:fill="FFFFFF"/>
        </w:rPr>
        <w:t xml:space="preserve">. </w:t>
      </w:r>
      <w:r w:rsidR="001C42E3">
        <w:rPr>
          <w:rFonts w:eastAsia="Times New Roman"/>
          <w:color w:val="000000" w:themeColor="text1"/>
          <w:shd w:val="clear" w:color="auto" w:fill="FFFFFF"/>
        </w:rPr>
        <w:t>As a result of the current drug policy, about 25% of all prisoners in Russia are in prison for drug crimes; and almost 40% of imprisoned women are in prisons for drug crimes.</w:t>
      </w:r>
      <w:r w:rsidR="001C42E3">
        <w:rPr>
          <w:rStyle w:val="af0"/>
          <w:rFonts w:eastAsia="Times New Roman"/>
          <w:color w:val="000000" w:themeColor="text1"/>
          <w:shd w:val="clear" w:color="auto" w:fill="FFFFFF"/>
        </w:rPr>
        <w:endnoteReference w:id="27"/>
      </w:r>
      <w:r w:rsidR="001C42E3">
        <w:rPr>
          <w:rFonts w:eastAsia="Times New Roman"/>
          <w:color w:val="000000" w:themeColor="text1"/>
          <w:shd w:val="clear" w:color="auto" w:fill="FFFFFF"/>
        </w:rPr>
        <w:t xml:space="preserve"> </w:t>
      </w:r>
    </w:p>
    <w:p w14:paraId="36C699A6" w14:textId="6D494EEF" w:rsidR="001C42E3" w:rsidRDefault="00667A79" w:rsidP="002F756D">
      <w:pPr>
        <w:widowControl w:val="0"/>
        <w:autoSpaceDE w:val="0"/>
        <w:autoSpaceDN w:val="0"/>
        <w:adjustRightInd w:val="0"/>
        <w:spacing w:before="100" w:beforeAutospacing="1" w:after="100" w:afterAutospacing="1" w:line="360" w:lineRule="auto"/>
      </w:pPr>
      <w:r>
        <w:rPr>
          <w:rFonts w:eastAsia="Times New Roman"/>
          <w:color w:val="000000" w:themeColor="text1"/>
          <w:shd w:val="clear" w:color="auto" w:fill="FFFFFF"/>
        </w:rPr>
        <w:t>29</w:t>
      </w:r>
      <w:r w:rsidR="002F756D">
        <w:rPr>
          <w:rFonts w:eastAsia="Times New Roman"/>
          <w:color w:val="000000" w:themeColor="text1"/>
          <w:shd w:val="clear" w:color="auto" w:fill="FFFFFF"/>
        </w:rPr>
        <w:t xml:space="preserve">. </w:t>
      </w:r>
      <w:r w:rsidR="001C42E3">
        <w:rPr>
          <w:rFonts w:eastAsia="Times New Roman"/>
          <w:color w:val="000000" w:themeColor="text1"/>
          <w:shd w:val="clear" w:color="auto" w:fill="FFFFFF"/>
        </w:rPr>
        <w:t xml:space="preserve">Policing and the risk of arrest drives people who use drugs from health services and force them to practice unsafe injecting, which leads to HIV. </w:t>
      </w:r>
      <w:r w:rsidR="001C42E3">
        <w:rPr>
          <w:rFonts w:eastAsia="Times New Roman" w:cs="Times New Roman"/>
          <w:lang w:val="en-GB"/>
        </w:rPr>
        <w:t xml:space="preserve">When in prison PWID get infected with TB, often </w:t>
      </w:r>
      <w:r w:rsidR="001C42E3" w:rsidRPr="00551409">
        <w:rPr>
          <w:color w:val="000000" w:themeColor="text1"/>
        </w:rPr>
        <w:t xml:space="preserve">due to </w:t>
      </w:r>
      <w:r w:rsidR="001C42E3">
        <w:rPr>
          <w:color w:val="000000" w:themeColor="text1"/>
        </w:rPr>
        <w:t xml:space="preserve">the fact that their </w:t>
      </w:r>
      <w:r w:rsidR="001C42E3" w:rsidRPr="00551409">
        <w:rPr>
          <w:color w:val="000000" w:themeColor="text1"/>
        </w:rPr>
        <w:t>immune system is weakened by drug dependence and HIV.</w:t>
      </w:r>
      <w:r w:rsidR="001C42E3" w:rsidRPr="001D034B">
        <w:rPr>
          <w:rStyle w:val="af0"/>
          <w:color w:val="000000" w:themeColor="text1"/>
        </w:rPr>
        <w:endnoteReference w:id="28"/>
      </w:r>
      <w:r w:rsidR="001C42E3" w:rsidRPr="00551409">
        <w:rPr>
          <w:color w:val="000000" w:themeColor="text1"/>
        </w:rPr>
        <w:t xml:space="preserve"> </w:t>
      </w:r>
      <w:r w:rsidR="001C42E3">
        <w:t>In addition to this, the lack of evidence based drug dependence treatment, such as OST, also leads to</w:t>
      </w:r>
      <w:r w:rsidR="001C42E3" w:rsidRPr="00551409">
        <w:rPr>
          <w:color w:val="000000" w:themeColor="text1"/>
        </w:rPr>
        <w:t xml:space="preserve"> high failure and default rates of</w:t>
      </w:r>
      <w:r w:rsidR="001C42E3">
        <w:rPr>
          <w:color w:val="000000" w:themeColor="text1"/>
        </w:rPr>
        <w:t xml:space="preserve"> TB</w:t>
      </w:r>
      <w:r w:rsidR="001C42E3" w:rsidRPr="00551409">
        <w:rPr>
          <w:color w:val="000000" w:themeColor="text1"/>
        </w:rPr>
        <w:t xml:space="preserve"> treatment</w:t>
      </w:r>
      <w:r w:rsidR="001C42E3">
        <w:rPr>
          <w:color w:val="000000" w:themeColor="text1"/>
        </w:rPr>
        <w:t xml:space="preserve"> among PWID, which leads to MDR/RR-TB</w:t>
      </w:r>
      <w:r w:rsidR="001C42E3" w:rsidRPr="00551409">
        <w:rPr>
          <w:color w:val="000000" w:themeColor="text1"/>
        </w:rPr>
        <w:t>.</w:t>
      </w:r>
      <w:r w:rsidR="001C42E3">
        <w:rPr>
          <w:rStyle w:val="af0"/>
          <w:color w:val="000000" w:themeColor="text1"/>
        </w:rPr>
        <w:endnoteReference w:id="29"/>
      </w:r>
      <w:r w:rsidR="001C42E3" w:rsidRPr="00551409">
        <w:rPr>
          <w:color w:val="000000" w:themeColor="text1"/>
        </w:rPr>
        <w:t xml:space="preserve"> </w:t>
      </w:r>
    </w:p>
    <w:p w14:paraId="464A18FF" w14:textId="1FEC528B" w:rsidR="001C42E3" w:rsidRPr="0043480A" w:rsidRDefault="00D644CF" w:rsidP="002F756D">
      <w:pPr>
        <w:spacing w:before="100" w:beforeAutospacing="1" w:after="100" w:afterAutospacing="1" w:line="360" w:lineRule="auto"/>
        <w:rPr>
          <w:rFonts w:cs="Times New Roman"/>
          <w:b/>
        </w:rPr>
      </w:pPr>
      <w:r w:rsidRPr="0043480A">
        <w:rPr>
          <w:rFonts w:cs="Times New Roman"/>
          <w:b/>
        </w:rPr>
        <w:t>UN HUMAN RIGHTS TREATY BODIES RECOGNIZE THESE FACTORS OF STIGMA AND DISCRIMINATION AND MADE IMPORTANT RECOMMENDATIONS TO THE RUSSIAN FEDERATION.</w:t>
      </w:r>
    </w:p>
    <w:p w14:paraId="082DB33E" w14:textId="1E12F788" w:rsidR="001C42E3" w:rsidRDefault="00667A79" w:rsidP="002F756D">
      <w:pPr>
        <w:spacing w:before="100" w:beforeAutospacing="1" w:after="100" w:afterAutospacing="1" w:line="360" w:lineRule="auto"/>
        <w:rPr>
          <w:i/>
          <w:color w:val="000000" w:themeColor="text1"/>
        </w:rPr>
      </w:pPr>
      <w:r>
        <w:rPr>
          <w:rFonts w:cs="Times New Roman"/>
        </w:rPr>
        <w:t>30</w:t>
      </w:r>
      <w:r w:rsidR="002F756D">
        <w:rPr>
          <w:rFonts w:cs="Times New Roman"/>
        </w:rPr>
        <w:t xml:space="preserve">. </w:t>
      </w:r>
      <w:r w:rsidR="0043480A">
        <w:rPr>
          <w:rFonts w:cs="Times New Roman"/>
        </w:rPr>
        <w:t xml:space="preserve">The </w:t>
      </w:r>
      <w:r w:rsidR="001C42E3">
        <w:rPr>
          <w:rFonts w:cs="Times New Roman"/>
        </w:rPr>
        <w:t xml:space="preserve">UN Committee on Economic, Social and Cultural Rights (CESCR) </w:t>
      </w:r>
      <w:r w:rsidR="001C42E3">
        <w:rPr>
          <w:color w:val="000000" w:themeColor="text1"/>
        </w:rPr>
        <w:t>urged</w:t>
      </w:r>
      <w:r w:rsidR="001C42E3" w:rsidRPr="00487B1B">
        <w:rPr>
          <w:color w:val="000000" w:themeColor="text1"/>
        </w:rPr>
        <w:t xml:space="preserve"> the </w:t>
      </w:r>
      <w:r w:rsidR="001C42E3">
        <w:rPr>
          <w:color w:val="000000" w:themeColor="text1"/>
        </w:rPr>
        <w:t>Russian Federation</w:t>
      </w:r>
      <w:r w:rsidR="001C42E3" w:rsidRPr="00487B1B">
        <w:rPr>
          <w:color w:val="000000" w:themeColor="text1"/>
        </w:rPr>
        <w:t xml:space="preserve"> to apply a human rights-based approach to drug users so that they do not forfeit their basic right to health. T</w:t>
      </w:r>
      <w:r w:rsidR="001C42E3">
        <w:rPr>
          <w:color w:val="000000" w:themeColor="text1"/>
        </w:rPr>
        <w:t>he Committee strongly recommended</w:t>
      </w:r>
      <w:r w:rsidR="001C42E3" w:rsidRPr="00487B1B">
        <w:rPr>
          <w:color w:val="000000" w:themeColor="text1"/>
        </w:rPr>
        <w:t xml:space="preserve"> the </w:t>
      </w:r>
      <w:r w:rsidR="001C42E3">
        <w:rPr>
          <w:color w:val="000000" w:themeColor="text1"/>
        </w:rPr>
        <w:t xml:space="preserve">Russian Federation </w:t>
      </w:r>
      <w:r w:rsidR="001C42E3" w:rsidRPr="00487B1B">
        <w:rPr>
          <w:color w:val="000000" w:themeColor="text1"/>
        </w:rPr>
        <w:t>to provide clear legal grounds and other support for the internationally recognized measures for HIV prevention among injecting drug users, in particular the opioid substitution therapy with use of methadone and buprenorphine, as well as needle and syringe, and overdose prevention programs</w:t>
      </w:r>
      <w:r w:rsidR="001C42E3">
        <w:rPr>
          <w:i/>
          <w:color w:val="000000" w:themeColor="text1"/>
        </w:rPr>
        <w:t xml:space="preserve">. </w:t>
      </w:r>
      <w:r w:rsidR="001C42E3">
        <w:rPr>
          <w:rStyle w:val="af0"/>
          <w:color w:val="000000" w:themeColor="text1"/>
        </w:rPr>
        <w:endnoteReference w:id="30"/>
      </w:r>
    </w:p>
    <w:p w14:paraId="7295210A" w14:textId="7D44E0BE" w:rsidR="001C42E3" w:rsidRPr="00551409" w:rsidRDefault="00667A79" w:rsidP="002F756D">
      <w:pPr>
        <w:spacing w:before="100" w:beforeAutospacing="1" w:after="100" w:afterAutospacing="1" w:line="360" w:lineRule="auto"/>
        <w:rPr>
          <w:color w:val="000000" w:themeColor="text1"/>
          <w:lang w:val="en-GB"/>
        </w:rPr>
      </w:pPr>
      <w:r>
        <w:rPr>
          <w:color w:val="000000" w:themeColor="text1"/>
        </w:rPr>
        <w:t>31</w:t>
      </w:r>
      <w:r w:rsidR="002F756D">
        <w:rPr>
          <w:color w:val="000000" w:themeColor="text1"/>
        </w:rPr>
        <w:t xml:space="preserve">. </w:t>
      </w:r>
      <w:r w:rsidR="001C42E3">
        <w:rPr>
          <w:color w:val="000000" w:themeColor="text1"/>
        </w:rPr>
        <w:t>The Russian Federation did not implement these CESCR recommendations</w:t>
      </w:r>
    </w:p>
    <w:p w14:paraId="265F870F" w14:textId="5EB1DE3F" w:rsidR="001C42E3" w:rsidRDefault="00667A79" w:rsidP="002F756D">
      <w:pPr>
        <w:spacing w:before="100" w:beforeAutospacing="1" w:after="100" w:afterAutospacing="1" w:line="360" w:lineRule="auto"/>
        <w:rPr>
          <w:rFonts w:eastAsia="Times New Roman" w:cs="Times New Roman"/>
          <w:lang w:val="en-GB"/>
        </w:rPr>
      </w:pPr>
      <w:r>
        <w:rPr>
          <w:rFonts w:eastAsia="Times New Roman" w:cs="Times New Roman"/>
          <w:lang w:val="en-GB"/>
        </w:rPr>
        <w:t>32</w:t>
      </w:r>
      <w:r w:rsidR="002F756D">
        <w:rPr>
          <w:rFonts w:eastAsia="Times New Roman" w:cs="Times New Roman"/>
          <w:lang w:val="en-GB"/>
        </w:rPr>
        <w:t xml:space="preserve">. </w:t>
      </w:r>
      <w:r w:rsidR="0043480A">
        <w:rPr>
          <w:rFonts w:eastAsia="Times New Roman" w:cs="Times New Roman"/>
          <w:lang w:val="en-GB"/>
        </w:rPr>
        <w:t>The</w:t>
      </w:r>
      <w:r w:rsidR="001C42E3">
        <w:rPr>
          <w:rFonts w:eastAsia="Times New Roman" w:cs="Times New Roman"/>
          <w:lang w:val="en-GB"/>
        </w:rPr>
        <w:t xml:space="preserve"> UN Human Rights Committee (HRC) recommended Russia</w:t>
      </w:r>
      <w:r w:rsidR="001C42E3" w:rsidRPr="00487B1B">
        <w:rPr>
          <w:rFonts w:eastAsia="Times New Roman" w:cs="Times New Roman"/>
          <w:lang w:val="en-GB"/>
        </w:rPr>
        <w:t xml:space="preserve"> </w:t>
      </w:r>
      <w:r w:rsidR="001C42E3">
        <w:rPr>
          <w:rFonts w:eastAsia="Times New Roman" w:cs="Times New Roman"/>
          <w:lang w:val="en-GB"/>
        </w:rPr>
        <w:t>to</w:t>
      </w:r>
      <w:r w:rsidR="001C42E3" w:rsidRPr="00487B1B">
        <w:rPr>
          <w:rFonts w:eastAsia="Times New Roman" w:cs="Times New Roman"/>
          <w:lang w:val="en-GB"/>
        </w:rPr>
        <w:t xml:space="preserve"> take all measures necessary to ensure that: (a) its policies vis-à-vis drug users deprived of their liberty fully conform to its obligation to effectively protect them against the pain and suffering associated </w:t>
      </w:r>
      <w:r w:rsidR="001C42E3" w:rsidRPr="00487B1B">
        <w:rPr>
          <w:rFonts w:eastAsia="Times New Roman" w:cs="Times New Roman"/>
          <w:lang w:val="en-GB"/>
        </w:rPr>
        <w:lastRenderedPageBreak/>
        <w:t>with the withdrawal syndrome and that timely, adequate and scientifically based medical assistance to counter withdrawal symptoms is</w:t>
      </w:r>
      <w:r w:rsidR="001C42E3">
        <w:rPr>
          <w:rFonts w:eastAsia="Times New Roman" w:cs="Times New Roman"/>
          <w:lang w:val="en-GB"/>
        </w:rPr>
        <w:t xml:space="preserve"> available in practice; (b) ade</w:t>
      </w:r>
      <w:r w:rsidR="001C42E3" w:rsidRPr="00487B1B">
        <w:rPr>
          <w:rFonts w:eastAsia="Times New Roman" w:cs="Times New Roman"/>
          <w:lang w:val="en-GB"/>
        </w:rPr>
        <w:t>quate legal safeguards are in place to prevent interrogations or any other procedural actions being conducted while the person is suffering from the withdrawal syndrome; and (c) due process rights of d</w:t>
      </w:r>
      <w:r w:rsidR="001C42E3">
        <w:rPr>
          <w:rFonts w:eastAsia="Times New Roman" w:cs="Times New Roman"/>
          <w:lang w:val="en-GB"/>
        </w:rPr>
        <w:t>rug users deprived of their lib</w:t>
      </w:r>
      <w:r w:rsidR="001C42E3" w:rsidRPr="00487B1B">
        <w:rPr>
          <w:rFonts w:eastAsia="Times New Roman" w:cs="Times New Roman"/>
          <w:lang w:val="en-GB"/>
        </w:rPr>
        <w:t>erty, including not to be compelled to testify against themselves, are effectively respected in practice.</w:t>
      </w:r>
      <w:r w:rsidR="001C42E3">
        <w:rPr>
          <w:rStyle w:val="af0"/>
          <w:rFonts w:eastAsia="Times New Roman" w:cs="Times New Roman"/>
          <w:lang w:val="en-GB"/>
        </w:rPr>
        <w:endnoteReference w:id="31"/>
      </w:r>
    </w:p>
    <w:p w14:paraId="0A5DD7EC" w14:textId="0FA4B004" w:rsidR="001C42E3" w:rsidRPr="00551409" w:rsidRDefault="00667A79" w:rsidP="002F756D">
      <w:pPr>
        <w:spacing w:before="100" w:beforeAutospacing="1" w:after="100" w:afterAutospacing="1" w:line="360" w:lineRule="auto"/>
        <w:rPr>
          <w:color w:val="000000" w:themeColor="text1"/>
          <w:lang w:val="en-GB"/>
        </w:rPr>
      </w:pPr>
      <w:r>
        <w:rPr>
          <w:color w:val="000000" w:themeColor="text1"/>
        </w:rPr>
        <w:t>33</w:t>
      </w:r>
      <w:r w:rsidR="002F756D">
        <w:rPr>
          <w:color w:val="000000" w:themeColor="text1"/>
        </w:rPr>
        <w:t xml:space="preserve">. </w:t>
      </w:r>
      <w:r w:rsidR="001C42E3">
        <w:rPr>
          <w:color w:val="000000" w:themeColor="text1"/>
        </w:rPr>
        <w:t>The Russian Federation did not implement these HRC recommendations.</w:t>
      </w:r>
    </w:p>
    <w:p w14:paraId="1D2BE5A7" w14:textId="4D2D4029" w:rsidR="001C42E3" w:rsidRDefault="00667A79" w:rsidP="002F756D">
      <w:pPr>
        <w:spacing w:before="100" w:beforeAutospacing="1" w:after="100" w:afterAutospacing="1" w:line="360" w:lineRule="auto"/>
        <w:rPr>
          <w:rFonts w:eastAsia="Times New Roman" w:cs="Times New Roman"/>
        </w:rPr>
      </w:pPr>
      <w:r>
        <w:rPr>
          <w:rFonts w:eastAsia="Times New Roman" w:cs="Times New Roman"/>
          <w:lang w:val="en-GB"/>
        </w:rPr>
        <w:t>34</w:t>
      </w:r>
      <w:r w:rsidR="002F756D">
        <w:rPr>
          <w:rFonts w:eastAsia="Times New Roman" w:cs="Times New Roman"/>
          <w:lang w:val="en-GB"/>
        </w:rPr>
        <w:t xml:space="preserve">. </w:t>
      </w:r>
      <w:r w:rsidR="0043480A">
        <w:rPr>
          <w:rFonts w:eastAsia="Times New Roman" w:cs="Times New Roman"/>
          <w:lang w:val="en-GB"/>
        </w:rPr>
        <w:t>T</w:t>
      </w:r>
      <w:r w:rsidR="001C42E3">
        <w:rPr>
          <w:rFonts w:eastAsia="Times New Roman" w:cs="Times New Roman"/>
          <w:lang w:val="en-GB"/>
        </w:rPr>
        <w:t xml:space="preserve">he UN </w:t>
      </w:r>
      <w:r w:rsidR="001C42E3" w:rsidRPr="00487B1B">
        <w:rPr>
          <w:rFonts w:eastAsia="Times New Roman" w:cs="Times New Roman"/>
          <w:lang w:val="en-GB"/>
        </w:rPr>
        <w:t>Committee on the Elimination of Discrimination</w:t>
      </w:r>
      <w:r w:rsidR="001C42E3">
        <w:rPr>
          <w:rFonts w:eastAsia="Times New Roman" w:cs="Times New Roman"/>
          <w:lang w:val="en-GB"/>
        </w:rPr>
        <w:t xml:space="preserve"> </w:t>
      </w:r>
      <w:r w:rsidR="001C42E3" w:rsidRPr="00487B1B">
        <w:rPr>
          <w:rFonts w:eastAsia="Times New Roman" w:cs="Times New Roman"/>
          <w:lang w:val="en-GB"/>
        </w:rPr>
        <w:t>against Women</w:t>
      </w:r>
      <w:r w:rsidR="001C42E3">
        <w:rPr>
          <w:rFonts w:eastAsia="Times New Roman" w:cs="Times New Roman"/>
          <w:lang w:val="en-GB"/>
        </w:rPr>
        <w:t xml:space="preserve"> (CEDAW) recommended Russia to t</w:t>
      </w:r>
      <w:r w:rsidR="001C42E3" w:rsidRPr="00487B1B">
        <w:rPr>
          <w:rFonts w:eastAsia="Times New Roman" w:cs="Times New Roman"/>
        </w:rPr>
        <w:t xml:space="preserve">o develop </w:t>
      </w:r>
      <w:r w:rsidR="00E96729" w:rsidRPr="00487B1B">
        <w:rPr>
          <w:rFonts w:eastAsia="Times New Roman" w:cs="Times New Roman"/>
        </w:rPr>
        <w:t>programs</w:t>
      </w:r>
      <w:r w:rsidR="001C42E3" w:rsidRPr="00487B1B">
        <w:rPr>
          <w:rFonts w:eastAsia="Times New Roman" w:cs="Times New Roman"/>
        </w:rPr>
        <w:t xml:space="preserve"> of substitution therapy, in line with the recommendations of the World Health Organization, for women drug users, and intensify the implementation of strategies to combat HIV/AIDS, in particular preventive strategies, including by increasing efforts to prevent sexual a</w:t>
      </w:r>
      <w:r w:rsidR="001C42E3">
        <w:rPr>
          <w:rFonts w:eastAsia="Times New Roman" w:cs="Times New Roman"/>
        </w:rPr>
        <w:t>nd mother-to-child transmission.</w:t>
      </w:r>
      <w:r w:rsidR="001C42E3">
        <w:rPr>
          <w:rStyle w:val="af0"/>
          <w:rFonts w:eastAsia="Times New Roman" w:cs="Times New Roman"/>
        </w:rPr>
        <w:endnoteReference w:id="32"/>
      </w:r>
    </w:p>
    <w:p w14:paraId="3D106076" w14:textId="6442058B" w:rsidR="00551409" w:rsidRDefault="00667A79" w:rsidP="002F756D">
      <w:pPr>
        <w:spacing w:before="100" w:beforeAutospacing="1" w:after="100" w:afterAutospacing="1" w:line="360" w:lineRule="auto"/>
        <w:rPr>
          <w:rFonts w:eastAsia="Times New Roman" w:cs="Times New Roman"/>
        </w:rPr>
      </w:pPr>
      <w:r>
        <w:rPr>
          <w:rFonts w:eastAsia="Times New Roman" w:cs="Times New Roman"/>
        </w:rPr>
        <w:t>35</w:t>
      </w:r>
      <w:r w:rsidR="002F756D">
        <w:rPr>
          <w:rFonts w:eastAsia="Times New Roman" w:cs="Times New Roman"/>
        </w:rPr>
        <w:t xml:space="preserve">. </w:t>
      </w:r>
      <w:r w:rsidR="00551409" w:rsidRPr="00551409">
        <w:rPr>
          <w:rFonts w:eastAsia="Times New Roman" w:cs="Times New Roman"/>
        </w:rPr>
        <w:t xml:space="preserve">The Russian Federation did not implement these </w:t>
      </w:r>
      <w:r w:rsidR="00551409">
        <w:rPr>
          <w:rFonts w:eastAsia="Times New Roman" w:cs="Times New Roman"/>
        </w:rPr>
        <w:t xml:space="preserve">CEDAW </w:t>
      </w:r>
      <w:r w:rsidR="00551409" w:rsidRPr="00551409">
        <w:rPr>
          <w:rFonts w:eastAsia="Times New Roman" w:cs="Times New Roman"/>
        </w:rPr>
        <w:t>recommendations</w:t>
      </w:r>
      <w:r w:rsidR="00551409">
        <w:rPr>
          <w:rFonts w:eastAsia="Times New Roman" w:cs="Times New Roman"/>
        </w:rPr>
        <w:t>.</w:t>
      </w:r>
    </w:p>
    <w:p w14:paraId="18A1A29E" w14:textId="667A3FF7" w:rsidR="00D141B9" w:rsidRDefault="00667A79" w:rsidP="002F756D">
      <w:pPr>
        <w:spacing w:before="100" w:beforeAutospacing="1" w:after="100" w:afterAutospacing="1" w:line="360" w:lineRule="auto"/>
        <w:rPr>
          <w:rFonts w:eastAsia="Times New Roman" w:cs="Times New Roman"/>
        </w:rPr>
      </w:pPr>
      <w:r>
        <w:rPr>
          <w:rFonts w:eastAsia="Times New Roman" w:cs="Times New Roman"/>
        </w:rPr>
        <w:t>36</w:t>
      </w:r>
      <w:r w:rsidR="002F756D">
        <w:rPr>
          <w:rFonts w:eastAsia="Times New Roman" w:cs="Times New Roman"/>
        </w:rPr>
        <w:t xml:space="preserve">. </w:t>
      </w:r>
      <w:r w:rsidR="00D141B9">
        <w:rPr>
          <w:rFonts w:eastAsia="Times New Roman" w:cs="Times New Roman"/>
        </w:rPr>
        <w:t xml:space="preserve">The implementation of these recommendations is absolutely critical to ensure the right to health, the right to be free from discrimination, </w:t>
      </w:r>
      <w:r w:rsidR="0043480A">
        <w:rPr>
          <w:rFonts w:eastAsia="Times New Roman" w:cs="Times New Roman"/>
        </w:rPr>
        <w:t xml:space="preserve">the right to be free from ill-treatment, </w:t>
      </w:r>
      <w:r w:rsidR="00D141B9">
        <w:rPr>
          <w:rFonts w:eastAsia="Times New Roman" w:cs="Times New Roman"/>
        </w:rPr>
        <w:t xml:space="preserve">and the right to liberty and security of the person in Russia. Moreover, the implementation of these recommendations is </w:t>
      </w:r>
      <w:r w:rsidR="00C77DDA">
        <w:rPr>
          <w:rFonts w:eastAsia="Times New Roman" w:cs="Times New Roman"/>
        </w:rPr>
        <w:t xml:space="preserve">critical </w:t>
      </w:r>
      <w:r w:rsidR="00D141B9">
        <w:rPr>
          <w:rFonts w:eastAsia="Times New Roman" w:cs="Times New Roman"/>
        </w:rPr>
        <w:t>to ensure effective measures of HIV and MDR/RR-TB prevention, care and treatment in Russia.</w:t>
      </w:r>
    </w:p>
    <w:p w14:paraId="6C7D2730" w14:textId="71C9AA0A" w:rsidR="00551409" w:rsidRPr="0043480A" w:rsidRDefault="00D644CF" w:rsidP="002F756D">
      <w:pPr>
        <w:spacing w:before="100" w:beforeAutospacing="1" w:after="100" w:afterAutospacing="1" w:line="360" w:lineRule="auto"/>
        <w:rPr>
          <w:rFonts w:eastAsia="Times New Roman" w:cs="Times New Roman"/>
          <w:b/>
        </w:rPr>
      </w:pPr>
      <w:r w:rsidRPr="0043480A">
        <w:rPr>
          <w:rFonts w:eastAsia="Times New Roman" w:cs="Times New Roman"/>
          <w:b/>
        </w:rPr>
        <w:t>RECOMMENDATIONS TO THE RUSSIAN FEDERATION DURING THE THIRD UPR CYCLE WITH RESPECT TO HIV AND MDR/RR-TB MOST AFFECTED POPULATION – PEOPLE WHO INJECT DRUGS.</w:t>
      </w:r>
    </w:p>
    <w:p w14:paraId="7DBA6A8E" w14:textId="77777777" w:rsidR="003A322E" w:rsidRPr="003A322E" w:rsidRDefault="004B5793" w:rsidP="004B5793">
      <w:pPr>
        <w:pStyle w:val="a6"/>
        <w:numPr>
          <w:ilvl w:val="0"/>
          <w:numId w:val="4"/>
        </w:numPr>
        <w:spacing w:before="100" w:beforeAutospacing="1" w:after="100" w:afterAutospacing="1" w:line="360" w:lineRule="auto"/>
        <w:rPr>
          <w:lang w:val="en-GB"/>
        </w:rPr>
      </w:pPr>
      <w:r w:rsidRPr="003A322E">
        <w:rPr>
          <w:rFonts w:eastAsia="Times New Roman" w:cs="Times New Roman"/>
        </w:rPr>
        <w:t xml:space="preserve">Provide clear legal grounds and other support </w:t>
      </w:r>
      <w:r w:rsidR="00D141B9" w:rsidRPr="003A322E">
        <w:rPr>
          <w:rFonts w:eastAsia="Times New Roman" w:cs="Times New Roman"/>
        </w:rPr>
        <w:t>WHO recommended</w:t>
      </w:r>
      <w:r w:rsidRPr="003A322E">
        <w:rPr>
          <w:rFonts w:eastAsia="Times New Roman" w:cs="Times New Roman"/>
        </w:rPr>
        <w:t xml:space="preserve"> measures for HIV prevention among people who inject drugs, in particular the opioid substitution therapy with use of methadone and buprenorphine, as well as needle and syringe, and overdose prevention programs</w:t>
      </w:r>
    </w:p>
    <w:p w14:paraId="063D9540" w14:textId="7396CB6F" w:rsidR="003A322E" w:rsidRPr="003A322E" w:rsidRDefault="003A322E" w:rsidP="004B5793">
      <w:pPr>
        <w:pStyle w:val="a6"/>
        <w:numPr>
          <w:ilvl w:val="0"/>
          <w:numId w:val="4"/>
        </w:numPr>
        <w:spacing w:before="100" w:beforeAutospacing="1" w:after="100" w:afterAutospacing="1" w:line="360" w:lineRule="auto"/>
        <w:rPr>
          <w:lang w:val="en-GB"/>
        </w:rPr>
      </w:pPr>
      <w:r w:rsidRPr="003A322E">
        <w:rPr>
          <w:lang w:val="en-GB"/>
        </w:rPr>
        <w:t>Address the vulnerability of people who inject drugs to HIV and depenalize drug use, by repealing administrative and criminal punishment for the use of narcotic drugs, possession of narcotic drugs with no intent to supply, and social distribution (micro- trafficking) of narcotic drugs.</w:t>
      </w:r>
    </w:p>
    <w:p w14:paraId="3FD43BB0" w14:textId="03936EE0" w:rsidR="00C77DDA" w:rsidRDefault="001F24DE" w:rsidP="004B5793">
      <w:pPr>
        <w:rPr>
          <w:rFonts w:eastAsia="Times New Roman" w:cs="Times New Roman"/>
          <w:b/>
        </w:rPr>
      </w:pPr>
      <w:r>
        <w:rPr>
          <w:rFonts w:eastAsia="Times New Roman" w:cs="Times New Roman"/>
          <w:b/>
        </w:rPr>
        <w:lastRenderedPageBreak/>
        <w:t xml:space="preserve">IMPLEMENTATION OF UPR </w:t>
      </w:r>
      <w:r w:rsidR="000070FE" w:rsidRPr="000070FE">
        <w:rPr>
          <w:rFonts w:eastAsia="Times New Roman" w:cs="Times New Roman"/>
          <w:b/>
        </w:rPr>
        <w:t>RECO</w:t>
      </w:r>
      <w:r w:rsidR="000070FE">
        <w:rPr>
          <w:rFonts w:eastAsia="Times New Roman" w:cs="Times New Roman"/>
          <w:b/>
        </w:rPr>
        <w:t>MMENDATIONS WITH RESPECT TO SW</w:t>
      </w:r>
      <w:r w:rsidR="000070FE" w:rsidRPr="000070FE">
        <w:rPr>
          <w:rFonts w:eastAsia="Times New Roman" w:cs="Times New Roman"/>
          <w:b/>
        </w:rPr>
        <w:t>.</w:t>
      </w:r>
    </w:p>
    <w:p w14:paraId="677F2529" w14:textId="77777777" w:rsidR="000070FE" w:rsidRDefault="000070FE" w:rsidP="004B5793">
      <w:pPr>
        <w:rPr>
          <w:rFonts w:eastAsia="Times New Roman" w:cs="Times New Roman"/>
          <w:b/>
        </w:rPr>
      </w:pPr>
    </w:p>
    <w:p w14:paraId="022CCB57" w14:textId="7AF4E0B6" w:rsidR="000070FE" w:rsidRPr="00386375" w:rsidRDefault="00667A79" w:rsidP="00386375">
      <w:pPr>
        <w:spacing w:line="360" w:lineRule="auto"/>
        <w:rPr>
          <w:rFonts w:eastAsia="Times New Roman" w:cs="Times New Roman"/>
        </w:rPr>
      </w:pPr>
      <w:r>
        <w:rPr>
          <w:rFonts w:eastAsia="Times New Roman" w:cs="Times New Roman"/>
        </w:rPr>
        <w:t xml:space="preserve">37. </w:t>
      </w:r>
      <w:r w:rsidR="000070FE">
        <w:rPr>
          <w:rFonts w:eastAsia="Times New Roman" w:cs="Times New Roman"/>
        </w:rPr>
        <w:t>The Russian Federation failed to implement these recommendations.</w:t>
      </w:r>
    </w:p>
    <w:p w14:paraId="79EF68E4" w14:textId="1F5D9B3C" w:rsidR="00945780" w:rsidRPr="00386375" w:rsidRDefault="00667A79" w:rsidP="00386375">
      <w:pPr>
        <w:spacing w:before="100" w:beforeAutospacing="1" w:after="100" w:afterAutospacing="1" w:line="360" w:lineRule="auto"/>
        <w:rPr>
          <w:rFonts w:cs="Times New Roman"/>
        </w:rPr>
      </w:pPr>
      <w:r>
        <w:rPr>
          <w:rFonts w:cs="Times New Roman"/>
        </w:rPr>
        <w:t xml:space="preserve">38. </w:t>
      </w:r>
      <w:r w:rsidR="0080629F">
        <w:rPr>
          <w:rFonts w:cs="Times New Roman"/>
        </w:rPr>
        <w:t>The</w:t>
      </w:r>
      <w:r w:rsidR="00386375" w:rsidRPr="00386375">
        <w:rPr>
          <w:rFonts w:cs="Times New Roman"/>
        </w:rPr>
        <w:t xml:space="preserve"> Russian Fede</w:t>
      </w:r>
      <w:r w:rsidR="00E96729">
        <w:rPr>
          <w:rFonts w:cs="Times New Roman"/>
        </w:rPr>
        <w:t xml:space="preserve">ration </w:t>
      </w:r>
      <w:r w:rsidR="0080629F">
        <w:rPr>
          <w:rFonts w:cs="Times New Roman"/>
        </w:rPr>
        <w:t xml:space="preserve">penalizes </w:t>
      </w:r>
      <w:r w:rsidR="00386375" w:rsidRPr="00386375">
        <w:rPr>
          <w:rFonts w:cs="Times New Roman"/>
        </w:rPr>
        <w:t xml:space="preserve">sex workers </w:t>
      </w:r>
      <w:r w:rsidR="0080629F">
        <w:rPr>
          <w:rFonts w:cs="Times New Roman"/>
        </w:rPr>
        <w:t xml:space="preserve">in two ways. Firs, by imposing </w:t>
      </w:r>
      <w:r w:rsidR="00E96729">
        <w:rPr>
          <w:rFonts w:cs="Times New Roman"/>
        </w:rPr>
        <w:t>the</w:t>
      </w:r>
      <w:r w:rsidR="0080629F">
        <w:rPr>
          <w:rFonts w:cs="Times New Roman"/>
        </w:rPr>
        <w:t xml:space="preserve"> administrative punishment for prostitution.</w:t>
      </w:r>
      <w:r w:rsidR="00945780" w:rsidRPr="00386375">
        <w:rPr>
          <w:rStyle w:val="af0"/>
          <w:rFonts w:cs="Times New Roman"/>
        </w:rPr>
        <w:endnoteReference w:id="33"/>
      </w:r>
      <w:r w:rsidR="00945780" w:rsidRPr="00386375">
        <w:rPr>
          <w:rFonts w:cs="Times New Roman"/>
          <w:lang w:eastAsia="hu-HU"/>
        </w:rPr>
        <w:t xml:space="preserve"> </w:t>
      </w:r>
      <w:r w:rsidR="00945780">
        <w:rPr>
          <w:rFonts w:cs="Times New Roman"/>
          <w:lang w:eastAsia="hu-HU"/>
        </w:rPr>
        <w:t>Second, by imposing criminal punishment of up to 8 years in prison for the</w:t>
      </w:r>
      <w:r w:rsidR="00945780" w:rsidRPr="00386375">
        <w:rPr>
          <w:rFonts w:cs="Times New Roman"/>
          <w:lang w:eastAsia="hu-HU"/>
        </w:rPr>
        <w:t xml:space="preserve"> organization of “prostitution”.</w:t>
      </w:r>
      <w:r w:rsidR="00945780" w:rsidRPr="00386375">
        <w:rPr>
          <w:rStyle w:val="af0"/>
          <w:rFonts w:cs="Times New Roman"/>
        </w:rPr>
        <w:endnoteReference w:id="34"/>
      </w:r>
    </w:p>
    <w:p w14:paraId="7097F593" w14:textId="6518FCAD" w:rsidR="00945780" w:rsidRPr="00386375" w:rsidRDefault="00667A79" w:rsidP="00386375">
      <w:pPr>
        <w:spacing w:before="100" w:beforeAutospacing="1" w:after="100" w:afterAutospacing="1" w:line="360" w:lineRule="auto"/>
        <w:rPr>
          <w:rFonts w:cs="Times New Roman"/>
        </w:rPr>
      </w:pPr>
      <w:r>
        <w:rPr>
          <w:rFonts w:cs="Times New Roman"/>
        </w:rPr>
        <w:t xml:space="preserve">39. </w:t>
      </w:r>
      <w:r w:rsidR="00945780" w:rsidRPr="00386375">
        <w:rPr>
          <w:rFonts w:cs="Times New Roman"/>
        </w:rPr>
        <w:t>According to the Russian Supreme Court, in 2015, magistrates considered 12,269 administrative cases under Article 6.11 and convicted 10 536 persons</w:t>
      </w:r>
      <w:r w:rsidR="00945780" w:rsidRPr="00386375">
        <w:rPr>
          <w:rStyle w:val="af0"/>
          <w:rFonts w:cs="Times New Roman"/>
        </w:rPr>
        <w:endnoteReference w:id="35"/>
      </w:r>
      <w:r w:rsidR="00945780" w:rsidRPr="00386375">
        <w:rPr>
          <w:rFonts w:cs="Times New Roman"/>
        </w:rPr>
        <w:t xml:space="preserve"> vs total of 60 persons convicted under criminal article 240 (engaging others into “prostitution”) and 123 persons under Article 241 (organizing of the “prostitution”) of the Criminal Code. </w:t>
      </w:r>
    </w:p>
    <w:p w14:paraId="427C1F61" w14:textId="0AA25550" w:rsidR="00945780" w:rsidRPr="00D542AC" w:rsidRDefault="00667A79" w:rsidP="0080629F">
      <w:pPr>
        <w:spacing w:before="100" w:beforeAutospacing="1" w:after="100" w:afterAutospacing="1" w:line="360" w:lineRule="auto"/>
        <w:rPr>
          <w:rFonts w:cs="Times New Roman"/>
          <w:lang w:val="en-CA" w:eastAsia="hu-HU"/>
        </w:rPr>
      </w:pPr>
      <w:r>
        <w:rPr>
          <w:rFonts w:cs="Times New Roman"/>
        </w:rPr>
        <w:t xml:space="preserve">40. </w:t>
      </w:r>
      <w:r w:rsidR="00945780" w:rsidRPr="0080629F">
        <w:rPr>
          <w:rFonts w:cs="Times New Roman"/>
        </w:rPr>
        <w:t xml:space="preserve">The criminalization of sex work infringes on the enjoyment of the right to health, by creating barriers to access by sex workers to health services and legal remedies. When sex workers are not recognized as engaging in legitimate work, they are not recognized by standard </w:t>
      </w:r>
      <w:r w:rsidR="00E96729" w:rsidRPr="0080629F">
        <w:rPr>
          <w:rFonts w:cs="Times New Roman"/>
        </w:rPr>
        <w:t>labor</w:t>
      </w:r>
      <w:r w:rsidR="00945780" w:rsidRPr="0080629F">
        <w:rPr>
          <w:rFonts w:cs="Times New Roman"/>
        </w:rPr>
        <w:t xml:space="preserve"> laws. Sex workers often cannot gain access to State benefits, and are not protected by occupational health and safety regulations that routinely protect employees in other industries. </w:t>
      </w:r>
      <w:r w:rsidR="00945780" w:rsidRPr="0080629F">
        <w:rPr>
          <w:rStyle w:val="af0"/>
          <w:rFonts w:cs="Times New Roman"/>
        </w:rPr>
        <w:endnoteReference w:id="36"/>
      </w:r>
      <w:r w:rsidR="00945780">
        <w:rPr>
          <w:rFonts w:cs="Times New Roman"/>
        </w:rPr>
        <w:t xml:space="preserve"> </w:t>
      </w:r>
      <w:r w:rsidR="00945780" w:rsidRPr="00D542AC">
        <w:rPr>
          <w:rFonts w:cs="Times New Roman"/>
          <w:color w:val="000000" w:themeColor="text1"/>
        </w:rPr>
        <w:t>Although sex work is often stigmatized and morally condemned, this is often the result of the state’s failure to respect, protect and fulfill the rights of sex workers. Sex work doesn't fit the Government's ideas of morality, and it starts from two quite opposite positions: that all “prostitution” is violence against women</w:t>
      </w:r>
      <w:r w:rsidR="00945780">
        <w:rPr>
          <w:rFonts w:cs="Times New Roman"/>
          <w:color w:val="000000" w:themeColor="text1"/>
        </w:rPr>
        <w:t>.</w:t>
      </w:r>
      <w:r w:rsidR="00945780" w:rsidRPr="00D542AC">
        <w:rPr>
          <w:rStyle w:val="af0"/>
          <w:rFonts w:cs="Times New Roman"/>
        </w:rPr>
        <w:endnoteReference w:id="37"/>
      </w:r>
      <w:r w:rsidR="00945780" w:rsidRPr="00D542AC">
        <w:rPr>
          <w:rFonts w:cs="Times New Roman"/>
          <w:color w:val="000000" w:themeColor="text1"/>
          <w:vertAlign w:val="superscript"/>
        </w:rPr>
        <w:t>,</w:t>
      </w:r>
      <w:r w:rsidR="00945780" w:rsidRPr="00D542AC">
        <w:rPr>
          <w:rStyle w:val="af0"/>
          <w:rFonts w:ascii="Tahoma" w:hAnsi="Tahoma" w:cs="Tahoma"/>
          <w:sz w:val="22"/>
          <w:szCs w:val="22"/>
        </w:rPr>
        <w:endnoteReference w:id="38"/>
      </w:r>
    </w:p>
    <w:p w14:paraId="15E67D69" w14:textId="10AF9716" w:rsidR="00945780" w:rsidRDefault="00667A79" w:rsidP="00386375">
      <w:pPr>
        <w:spacing w:before="100" w:beforeAutospacing="1" w:after="100" w:afterAutospacing="1" w:line="360" w:lineRule="auto"/>
        <w:rPr>
          <w:rFonts w:eastAsia="Calibri" w:cs="Times New Roman"/>
          <w:lang w:bidi="en-US"/>
        </w:rPr>
      </w:pPr>
      <w:r>
        <w:rPr>
          <w:rFonts w:eastAsia="Calibri" w:cs="Times New Roman"/>
          <w:lang w:val="en-CA" w:bidi="en-US"/>
        </w:rPr>
        <w:t xml:space="preserve">41. </w:t>
      </w:r>
      <w:r w:rsidR="00945780" w:rsidRPr="00D542AC">
        <w:rPr>
          <w:rFonts w:eastAsia="Calibri" w:cs="Times New Roman"/>
          <w:lang w:val="en-CA" w:bidi="en-US"/>
        </w:rPr>
        <w:t>Pen</w:t>
      </w:r>
      <w:r w:rsidR="00945780">
        <w:rPr>
          <w:rFonts w:eastAsia="Calibri" w:cs="Times New Roman"/>
          <w:lang w:val="en-CA" w:bidi="en-US"/>
        </w:rPr>
        <w:t>alization of sex work deprives SW of their legal protection and basic freedoms. In</w:t>
      </w:r>
      <w:r w:rsidR="00945780" w:rsidRPr="00386375">
        <w:rPr>
          <w:rFonts w:eastAsia="Calibri" w:cs="Times New Roman"/>
          <w:lang w:bidi="en-US"/>
        </w:rPr>
        <w:t xml:space="preserve"> 2013, the first All-Russian Sex Workers’ Association was refused the official registration </w:t>
      </w:r>
      <w:r w:rsidR="00945780">
        <w:rPr>
          <w:rFonts w:eastAsia="Calibri" w:cs="Times New Roman"/>
          <w:lang w:bidi="en-US"/>
        </w:rPr>
        <w:t xml:space="preserve">with references to </w:t>
      </w:r>
      <w:r w:rsidR="00945780" w:rsidRPr="00386375">
        <w:rPr>
          <w:rFonts w:eastAsia="Calibri" w:cs="Times New Roman"/>
          <w:lang w:bidi="en-US"/>
        </w:rPr>
        <w:t>laws</w:t>
      </w:r>
      <w:r w:rsidR="00945780" w:rsidRPr="00386375">
        <w:rPr>
          <w:rFonts w:cs="Times New Roman"/>
        </w:rPr>
        <w:t>,</w:t>
      </w:r>
      <w:r w:rsidR="00945780" w:rsidRPr="00386375">
        <w:rPr>
          <w:rFonts w:eastAsia="Calibri" w:cs="Times New Roman"/>
          <w:lang w:bidi="en-US"/>
        </w:rPr>
        <w:t xml:space="preserve"> which prohibit “prostitution”.</w:t>
      </w:r>
      <w:r w:rsidR="00945780" w:rsidRPr="00386375">
        <w:rPr>
          <w:rStyle w:val="af0"/>
          <w:rFonts w:cs="Times New Roman"/>
        </w:rPr>
        <w:endnoteReference w:id="39"/>
      </w:r>
    </w:p>
    <w:p w14:paraId="5C9E78D0" w14:textId="468DA498" w:rsidR="00945780" w:rsidRDefault="00945780" w:rsidP="0080629F">
      <w:pPr>
        <w:spacing w:before="100" w:beforeAutospacing="1" w:after="100" w:afterAutospacing="1" w:line="360" w:lineRule="auto"/>
        <w:rPr>
          <w:rFonts w:cs="Times New Roman"/>
          <w:b/>
        </w:rPr>
      </w:pPr>
      <w:r w:rsidRPr="0043480A">
        <w:rPr>
          <w:rFonts w:cs="Times New Roman"/>
          <w:b/>
        </w:rPr>
        <w:t>UN HUMAN RIGHTS TREATY BODIES</w:t>
      </w:r>
      <w:r>
        <w:rPr>
          <w:rFonts w:cs="Times New Roman"/>
          <w:b/>
        </w:rPr>
        <w:t xml:space="preserve"> AND UN AGENCIES</w:t>
      </w:r>
      <w:r w:rsidRPr="0043480A">
        <w:rPr>
          <w:rFonts w:cs="Times New Roman"/>
          <w:b/>
        </w:rPr>
        <w:t xml:space="preserve"> RECOGNIZE THESE FACTORS OF STIGMA AND DISCRIMINATION AND MADE IMPORTANT RECOMMENDATIONS TO THE RUSSIAN FEDERATION.</w:t>
      </w:r>
    </w:p>
    <w:p w14:paraId="525DEEC5" w14:textId="3B43E33C" w:rsidR="00945780" w:rsidRPr="00EB289F" w:rsidRDefault="00667A79" w:rsidP="001F7CA5">
      <w:pPr>
        <w:spacing w:after="100" w:afterAutospacing="1" w:line="360" w:lineRule="auto"/>
        <w:jc w:val="both"/>
        <w:rPr>
          <w:rFonts w:cs="Times New Roman"/>
        </w:rPr>
      </w:pPr>
      <w:r>
        <w:rPr>
          <w:rFonts w:cs="Times New Roman"/>
        </w:rPr>
        <w:t xml:space="preserve">42. </w:t>
      </w:r>
      <w:r w:rsidR="00945780" w:rsidRPr="00EB289F">
        <w:rPr>
          <w:rFonts w:cs="Times New Roman"/>
        </w:rPr>
        <w:t>CEDAW recommended the Russian Federation to repeal a provision of its Administrative Code, which penalizes prostitution, and to establish an oversight mechanism to monitor violence against women involved in prostitution, including by the police.”</w:t>
      </w:r>
      <w:r w:rsidR="00945780" w:rsidRPr="00EB289F">
        <w:rPr>
          <w:rStyle w:val="af0"/>
          <w:rFonts w:cs="Times New Roman"/>
        </w:rPr>
        <w:t xml:space="preserve"> </w:t>
      </w:r>
      <w:r w:rsidR="00945780" w:rsidRPr="00EB289F">
        <w:rPr>
          <w:rStyle w:val="af0"/>
          <w:rFonts w:cs="Times New Roman"/>
        </w:rPr>
        <w:endnoteReference w:id="40"/>
      </w:r>
    </w:p>
    <w:p w14:paraId="0521FEBD" w14:textId="341C124D" w:rsidR="00945780" w:rsidRPr="00EB289F" w:rsidRDefault="00667A79" w:rsidP="001F7CA5">
      <w:pPr>
        <w:widowControl w:val="0"/>
        <w:autoSpaceDE w:val="0"/>
        <w:autoSpaceDN w:val="0"/>
        <w:adjustRightInd w:val="0"/>
        <w:spacing w:after="100" w:afterAutospacing="1" w:line="360" w:lineRule="auto"/>
        <w:rPr>
          <w:rFonts w:cs="Times New Roman"/>
        </w:rPr>
      </w:pPr>
      <w:r>
        <w:rPr>
          <w:rFonts w:cs="Times New Roman"/>
        </w:rPr>
        <w:t xml:space="preserve">43. </w:t>
      </w:r>
      <w:r w:rsidR="00945780" w:rsidRPr="00EB289F">
        <w:rPr>
          <w:rFonts w:cs="Times New Roman"/>
        </w:rPr>
        <w:t xml:space="preserve">The International Labour Organization recognizes voluntary sex work as a form of </w:t>
      </w:r>
      <w:r w:rsidR="00945780" w:rsidRPr="00EB289F">
        <w:rPr>
          <w:rFonts w:cs="Times New Roman"/>
        </w:rPr>
        <w:lastRenderedPageBreak/>
        <w:t>labour</w:t>
      </w:r>
      <w:r w:rsidR="00945780" w:rsidRPr="00EB289F">
        <w:rPr>
          <w:rStyle w:val="af0"/>
          <w:rFonts w:cs="Times New Roman"/>
        </w:rPr>
        <w:endnoteReference w:id="41"/>
      </w:r>
      <w:r w:rsidR="00945780" w:rsidRPr="00EB289F">
        <w:rPr>
          <w:rFonts w:cs="Times New Roman"/>
          <w:position w:val="16"/>
        </w:rPr>
        <w:t xml:space="preserve"> </w:t>
      </w:r>
      <w:r w:rsidR="00945780" w:rsidRPr="00EB289F">
        <w:rPr>
          <w:rFonts w:cs="Times New Roman"/>
        </w:rPr>
        <w:t>as does the Committee on the Elimination of all Forms of Discrimination Against Women.</w:t>
      </w:r>
      <w:r w:rsidR="00945780" w:rsidRPr="00EB289F">
        <w:rPr>
          <w:rStyle w:val="af0"/>
          <w:rFonts w:cs="Times New Roman"/>
        </w:rPr>
        <w:endnoteReference w:id="42"/>
      </w:r>
      <w:r w:rsidR="00945780" w:rsidRPr="00EB289F">
        <w:rPr>
          <w:rFonts w:cs="Times New Roman"/>
        </w:rPr>
        <w:t xml:space="preserve"> </w:t>
      </w:r>
    </w:p>
    <w:p w14:paraId="3AE8312B" w14:textId="1D2AD000" w:rsidR="00945780" w:rsidRDefault="00400BE2" w:rsidP="001F7CA5">
      <w:pPr>
        <w:widowControl w:val="0"/>
        <w:autoSpaceDE w:val="0"/>
        <w:autoSpaceDN w:val="0"/>
        <w:adjustRightInd w:val="0"/>
        <w:spacing w:after="240" w:line="360" w:lineRule="auto"/>
        <w:rPr>
          <w:rFonts w:cs="Times New Roman"/>
        </w:rPr>
      </w:pPr>
      <w:r>
        <w:rPr>
          <w:rFonts w:cs="Times New Roman"/>
        </w:rPr>
        <w:t>44</w:t>
      </w:r>
      <w:r w:rsidR="00667A79">
        <w:rPr>
          <w:rFonts w:cs="Times New Roman"/>
        </w:rPr>
        <w:t xml:space="preserve">. </w:t>
      </w:r>
      <w:r w:rsidR="00945780" w:rsidRPr="00EB289F">
        <w:rPr>
          <w:rFonts w:cs="Times New Roman"/>
        </w:rPr>
        <w:t>The UN Special Rapporteur on the right health recommends the UN member states to decriminalize sex work as a public health measure.</w:t>
      </w:r>
      <w:r w:rsidR="00945780" w:rsidRPr="00EB289F">
        <w:rPr>
          <w:rStyle w:val="af0"/>
          <w:rFonts w:cs="Times New Roman"/>
        </w:rPr>
        <w:endnoteReference w:id="43"/>
      </w:r>
    </w:p>
    <w:p w14:paraId="4315246F" w14:textId="3EDBB901" w:rsidR="00945780" w:rsidRPr="00EB289F" w:rsidRDefault="00400BE2" w:rsidP="001F7CA5">
      <w:pPr>
        <w:widowControl w:val="0"/>
        <w:autoSpaceDE w:val="0"/>
        <w:autoSpaceDN w:val="0"/>
        <w:adjustRightInd w:val="0"/>
        <w:spacing w:after="240" w:line="360" w:lineRule="auto"/>
        <w:rPr>
          <w:rFonts w:cs="Times New Roman"/>
        </w:rPr>
      </w:pPr>
      <w:r>
        <w:rPr>
          <w:rFonts w:eastAsia="Times New Roman" w:cs="Times New Roman"/>
        </w:rPr>
        <w:t>45</w:t>
      </w:r>
      <w:r w:rsidR="00667A79">
        <w:rPr>
          <w:rFonts w:eastAsia="Times New Roman" w:cs="Times New Roman"/>
        </w:rPr>
        <w:t xml:space="preserve">. </w:t>
      </w:r>
      <w:r w:rsidR="00945780" w:rsidRPr="00EB289F">
        <w:rPr>
          <w:rFonts w:eastAsia="Times New Roman" w:cs="Times New Roman"/>
        </w:rPr>
        <w:t>Amnesty International, recommends to repeal laws which criminalize the sale of sex, and to repeal laws which make the buying of sex from consenting adults or the organization of sex work (such as prohibitions on renting premises for sex work) a criminal offence.</w:t>
      </w:r>
      <w:r w:rsidR="00945780" w:rsidRPr="00EB289F">
        <w:rPr>
          <w:rStyle w:val="af0"/>
          <w:rFonts w:eastAsia="Times New Roman" w:cs="Times New Roman"/>
        </w:rPr>
        <w:endnoteReference w:id="44"/>
      </w:r>
    </w:p>
    <w:p w14:paraId="2A15AFD5" w14:textId="0BA6DE4C" w:rsidR="00945780" w:rsidRPr="00EB289F" w:rsidRDefault="00400BE2" w:rsidP="001F7CA5">
      <w:pPr>
        <w:pStyle w:val="p1"/>
        <w:spacing w:after="100" w:afterAutospacing="1" w:line="360" w:lineRule="auto"/>
        <w:rPr>
          <w:rFonts w:ascii="Times New Roman" w:eastAsia="Times New Roman" w:hAnsi="Times New Roman"/>
          <w:color w:val="auto"/>
          <w:sz w:val="24"/>
          <w:szCs w:val="24"/>
          <w:shd w:val="clear" w:color="auto" w:fill="FFFFFF"/>
          <w:lang w:val="en-US"/>
        </w:rPr>
      </w:pPr>
      <w:r>
        <w:rPr>
          <w:rFonts w:ascii="Times New Roman" w:eastAsia="Times New Roman" w:hAnsi="Times New Roman"/>
          <w:color w:val="auto"/>
          <w:sz w:val="24"/>
          <w:szCs w:val="24"/>
          <w:shd w:val="clear" w:color="auto" w:fill="FFFFFF"/>
          <w:lang w:val="en-US"/>
        </w:rPr>
        <w:t>46</w:t>
      </w:r>
      <w:r w:rsidR="00667A79">
        <w:rPr>
          <w:rFonts w:ascii="Times New Roman" w:eastAsia="Times New Roman" w:hAnsi="Times New Roman"/>
          <w:color w:val="auto"/>
          <w:sz w:val="24"/>
          <w:szCs w:val="24"/>
          <w:shd w:val="clear" w:color="auto" w:fill="FFFFFF"/>
          <w:lang w:val="en-US"/>
        </w:rPr>
        <w:t xml:space="preserve">. </w:t>
      </w:r>
      <w:r w:rsidR="00945780" w:rsidRPr="00EB289F">
        <w:rPr>
          <w:rFonts w:ascii="Times New Roman" w:eastAsia="Times New Roman" w:hAnsi="Times New Roman"/>
          <w:color w:val="auto"/>
          <w:sz w:val="24"/>
          <w:szCs w:val="24"/>
          <w:shd w:val="clear" w:color="auto" w:fill="FFFFFF"/>
          <w:lang w:val="en-US"/>
        </w:rPr>
        <w:t xml:space="preserve">WHO, UNAIDS and other UN agencies and programs relies on human rights and public health arguments in favor of “decriminalization of sex work and the elimination of the unjust application of non-criminal laws and regulations against sex workers to recognize and respect sex work as a legitimate occupation or livelihood”. They recommend to </w:t>
      </w:r>
      <w:r w:rsidR="00945780" w:rsidRPr="00EB289F">
        <w:rPr>
          <w:rFonts w:ascii="Times New Roman" w:eastAsia="Calibri" w:hAnsi="Times New Roman"/>
          <w:color w:val="auto"/>
          <w:sz w:val="24"/>
          <w:szCs w:val="24"/>
          <w:lang w:val="en-US" w:bidi="en-US"/>
        </w:rPr>
        <w:t>“</w:t>
      </w:r>
      <w:r w:rsidR="00945780" w:rsidRPr="00EB289F">
        <w:rPr>
          <w:rFonts w:ascii="Times New Roman" w:eastAsia="Times New Roman" w:hAnsi="Times New Roman"/>
          <w:color w:val="auto"/>
          <w:sz w:val="24"/>
          <w:szCs w:val="24"/>
          <w:lang w:val="en-US"/>
        </w:rPr>
        <w:t xml:space="preserve">decriminalize or de-penalize sex work in order to reduce fear among sex workers and increase condom use” as a part of national policies </w:t>
      </w:r>
      <w:r w:rsidR="00945780" w:rsidRPr="00EB289F">
        <w:rPr>
          <w:rFonts w:ascii="Times New Roman" w:eastAsia="Calibri" w:hAnsi="Times New Roman"/>
          <w:color w:val="auto"/>
          <w:sz w:val="24"/>
          <w:szCs w:val="24"/>
          <w:lang w:val="en-US" w:bidi="en-US"/>
        </w:rPr>
        <w:t>crucial for HIV prevention</w:t>
      </w:r>
      <w:r w:rsidR="00945780" w:rsidRPr="00EB289F">
        <w:rPr>
          <w:rFonts w:ascii="Times New Roman" w:eastAsia="Times New Roman" w:hAnsi="Times New Roman"/>
          <w:color w:val="auto"/>
          <w:sz w:val="24"/>
          <w:szCs w:val="24"/>
          <w:shd w:val="clear" w:color="auto" w:fill="FFFFFF"/>
          <w:lang w:val="en-US"/>
        </w:rPr>
        <w:t>.</w:t>
      </w:r>
      <w:r w:rsidR="00945780" w:rsidRPr="00EB289F">
        <w:rPr>
          <w:rStyle w:val="af0"/>
          <w:rFonts w:ascii="Times New Roman" w:eastAsia="Times New Roman" w:hAnsi="Times New Roman"/>
          <w:color w:val="auto"/>
          <w:sz w:val="24"/>
          <w:szCs w:val="24"/>
          <w:shd w:val="clear" w:color="auto" w:fill="FFFFFF"/>
          <w:lang w:val="en-US"/>
        </w:rPr>
        <w:endnoteReference w:id="45"/>
      </w:r>
      <w:r w:rsidR="00945780" w:rsidRPr="00EB289F">
        <w:rPr>
          <w:rFonts w:ascii="Times New Roman" w:eastAsia="Times New Roman" w:hAnsi="Times New Roman"/>
          <w:color w:val="auto"/>
          <w:sz w:val="24"/>
          <w:szCs w:val="24"/>
          <w:shd w:val="clear" w:color="auto" w:fill="FFFFFF"/>
          <w:lang w:val="en-US"/>
        </w:rPr>
        <w:t> </w:t>
      </w:r>
    </w:p>
    <w:p w14:paraId="7CD26691" w14:textId="06971BF5" w:rsidR="0080629F" w:rsidRPr="00EB289F" w:rsidRDefault="00400BE2" w:rsidP="001F7CA5">
      <w:pPr>
        <w:spacing w:after="100" w:afterAutospacing="1" w:line="360" w:lineRule="auto"/>
        <w:rPr>
          <w:rFonts w:cs="Times New Roman"/>
        </w:rPr>
      </w:pPr>
      <w:r>
        <w:rPr>
          <w:rFonts w:cs="Times New Roman"/>
        </w:rPr>
        <w:t>47</w:t>
      </w:r>
      <w:r w:rsidR="00667A79">
        <w:rPr>
          <w:rFonts w:cs="Times New Roman"/>
        </w:rPr>
        <w:t xml:space="preserve">. </w:t>
      </w:r>
      <w:r w:rsidR="00945780" w:rsidRPr="00EB289F">
        <w:rPr>
          <w:rFonts w:cs="Times New Roman"/>
        </w:rPr>
        <w:t>The Lancet, a medical journal, in March 2017, published an article with a clear conclusion that c</w:t>
      </w:r>
      <w:r w:rsidR="00945780" w:rsidRPr="00EB289F">
        <w:rPr>
          <w:rFonts w:eastAsia="Times New Roman" w:cs="Times New Roman"/>
        </w:rPr>
        <w:t xml:space="preserve">ountries that have </w:t>
      </w:r>
      <w:r w:rsidR="00E96729" w:rsidRPr="00EB289F">
        <w:rPr>
          <w:rFonts w:eastAsia="Times New Roman" w:cs="Times New Roman"/>
        </w:rPr>
        <w:t>legalized</w:t>
      </w:r>
      <w:r w:rsidR="00945780" w:rsidRPr="00EB289F">
        <w:rPr>
          <w:rFonts w:eastAsia="Times New Roman" w:cs="Times New Roman"/>
        </w:rPr>
        <w:t xml:space="preserve"> sex work have significantly lower HIV prevalence among sex workers than countries that </w:t>
      </w:r>
      <w:r w:rsidR="00E96729" w:rsidRPr="00EB289F">
        <w:rPr>
          <w:rFonts w:eastAsia="Times New Roman" w:cs="Times New Roman"/>
        </w:rPr>
        <w:t>criminalize</w:t>
      </w:r>
      <w:r w:rsidR="00945780" w:rsidRPr="00EB289F">
        <w:rPr>
          <w:rFonts w:eastAsia="Times New Roman" w:cs="Times New Roman"/>
        </w:rPr>
        <w:t xml:space="preserve"> sex work”. </w:t>
      </w:r>
      <w:r w:rsidR="00945780" w:rsidRPr="00EB289F">
        <w:rPr>
          <w:rStyle w:val="af0"/>
          <w:rFonts w:cs="Times New Roman"/>
        </w:rPr>
        <w:endnoteReference w:id="46"/>
      </w:r>
      <w:r w:rsidR="00945780" w:rsidRPr="00EB289F">
        <w:rPr>
          <w:rFonts w:cs="Times New Roman"/>
        </w:rPr>
        <w:t xml:space="preserve"> </w:t>
      </w:r>
    </w:p>
    <w:p w14:paraId="08108B95" w14:textId="41CEA05B" w:rsidR="00EB289F" w:rsidRPr="00EB289F" w:rsidRDefault="00400BE2" w:rsidP="001F7CA5">
      <w:pPr>
        <w:spacing w:after="100" w:afterAutospacing="1" w:line="360" w:lineRule="auto"/>
        <w:rPr>
          <w:rFonts w:cs="Times New Roman"/>
        </w:rPr>
      </w:pPr>
      <w:r>
        <w:rPr>
          <w:rFonts w:cs="Times New Roman"/>
        </w:rPr>
        <w:t>48</w:t>
      </w:r>
      <w:r w:rsidR="00667A79">
        <w:rPr>
          <w:rFonts w:cs="Times New Roman"/>
        </w:rPr>
        <w:t xml:space="preserve">. </w:t>
      </w:r>
      <w:r w:rsidR="00EB289F" w:rsidRPr="00EB289F">
        <w:rPr>
          <w:rFonts w:cs="Times New Roman"/>
        </w:rPr>
        <w:t xml:space="preserve">The Russian Federation does not take these recommendations into account and continues to </w:t>
      </w:r>
      <w:r w:rsidR="00E96729" w:rsidRPr="00EB289F">
        <w:rPr>
          <w:rFonts w:cs="Times New Roman"/>
        </w:rPr>
        <w:t>penalize</w:t>
      </w:r>
      <w:r w:rsidR="00EB289F" w:rsidRPr="00EB289F">
        <w:rPr>
          <w:rFonts w:cs="Times New Roman"/>
        </w:rPr>
        <w:t xml:space="preserve"> sex work.</w:t>
      </w:r>
    </w:p>
    <w:p w14:paraId="3883E7C5" w14:textId="2EE958A1" w:rsidR="00EB289F" w:rsidRDefault="00EB289F" w:rsidP="0080629F">
      <w:pPr>
        <w:spacing w:before="100" w:beforeAutospacing="1" w:after="100" w:afterAutospacing="1" w:line="360" w:lineRule="auto"/>
        <w:rPr>
          <w:rFonts w:cs="Times New Roman"/>
          <w:b/>
        </w:rPr>
      </w:pPr>
      <w:r w:rsidRPr="00EB289F">
        <w:rPr>
          <w:rFonts w:cs="Times New Roman"/>
          <w:b/>
        </w:rPr>
        <w:t xml:space="preserve">RECOMMENDATIONS TO THE RUSSIAN FEDERATION DURING THE THIRD UPR CYCLE WITH RESPECT TO HIV </w:t>
      </w:r>
      <w:r>
        <w:rPr>
          <w:rFonts w:cs="Times New Roman"/>
          <w:b/>
        </w:rPr>
        <w:t>A</w:t>
      </w:r>
      <w:r w:rsidRPr="00EB289F">
        <w:rPr>
          <w:rFonts w:cs="Times New Roman"/>
          <w:b/>
        </w:rPr>
        <w:t xml:space="preserve">FFECTED POPULATION – </w:t>
      </w:r>
      <w:r w:rsidR="001F24DE">
        <w:rPr>
          <w:rFonts w:cs="Times New Roman"/>
          <w:b/>
        </w:rPr>
        <w:t>SEX WORKERS</w:t>
      </w:r>
      <w:r w:rsidRPr="00EB289F">
        <w:rPr>
          <w:rFonts w:cs="Times New Roman"/>
          <w:b/>
        </w:rPr>
        <w:t xml:space="preserve"> </w:t>
      </w:r>
    </w:p>
    <w:p w14:paraId="42F03DAD" w14:textId="4628DB72" w:rsidR="0080629F" w:rsidRPr="008E6141" w:rsidRDefault="008E6141" w:rsidP="008E6141">
      <w:pPr>
        <w:pStyle w:val="a6"/>
        <w:numPr>
          <w:ilvl w:val="0"/>
          <w:numId w:val="6"/>
        </w:numPr>
        <w:spacing w:before="100" w:beforeAutospacing="1" w:after="100" w:afterAutospacing="1" w:line="360" w:lineRule="auto"/>
        <w:rPr>
          <w:rFonts w:cs="Times New Roman"/>
        </w:rPr>
      </w:pPr>
      <w:r w:rsidRPr="008E6141">
        <w:rPr>
          <w:rFonts w:cs="Times New Roman"/>
        </w:rPr>
        <w:t xml:space="preserve">Address the vulnerability of sex workers to HIV and </w:t>
      </w:r>
      <w:r w:rsidR="00E96729" w:rsidRPr="008E6141">
        <w:rPr>
          <w:rFonts w:cs="Times New Roman"/>
        </w:rPr>
        <w:t>depenalize</w:t>
      </w:r>
      <w:r w:rsidR="00EB289F" w:rsidRPr="008E6141">
        <w:rPr>
          <w:rFonts w:cs="Times New Roman"/>
        </w:rPr>
        <w:t xml:space="preserve"> sex workers by repealing administrative and criminal punishment for voluntary adult sex-work and its management, and establish HIV and other health services for sex workers.</w:t>
      </w:r>
    </w:p>
    <w:p w14:paraId="39E0406A" w14:textId="53BD5BD4" w:rsidR="00EB289F" w:rsidRPr="0043480A" w:rsidRDefault="001F24DE" w:rsidP="0080629F">
      <w:pPr>
        <w:spacing w:before="100" w:beforeAutospacing="1" w:after="100" w:afterAutospacing="1" w:line="360" w:lineRule="auto"/>
        <w:rPr>
          <w:rFonts w:cs="Times New Roman"/>
          <w:b/>
        </w:rPr>
      </w:pPr>
      <w:r w:rsidRPr="001F24DE">
        <w:rPr>
          <w:rFonts w:cs="Times New Roman"/>
          <w:b/>
        </w:rPr>
        <w:t xml:space="preserve">IMPLEMENTATION OF UPR RECOMMENDATIONS WITH RESPECT TO </w:t>
      </w:r>
      <w:r>
        <w:rPr>
          <w:rFonts w:cs="Times New Roman"/>
          <w:b/>
        </w:rPr>
        <w:t>MSM</w:t>
      </w:r>
      <w:r w:rsidRPr="001F24DE">
        <w:rPr>
          <w:rFonts w:cs="Times New Roman"/>
          <w:b/>
        </w:rPr>
        <w:t>.</w:t>
      </w:r>
    </w:p>
    <w:p w14:paraId="6CAB3CAB" w14:textId="4A9B16CD" w:rsidR="0080629F" w:rsidRDefault="00400BE2" w:rsidP="00386375">
      <w:pPr>
        <w:spacing w:before="100" w:beforeAutospacing="1" w:after="100" w:afterAutospacing="1" w:line="360" w:lineRule="auto"/>
        <w:rPr>
          <w:rFonts w:eastAsia="Calibri" w:cs="Times New Roman"/>
          <w:lang w:bidi="en-US"/>
        </w:rPr>
      </w:pPr>
      <w:r>
        <w:rPr>
          <w:rFonts w:eastAsia="Calibri" w:cs="Times New Roman"/>
          <w:lang w:bidi="en-US"/>
        </w:rPr>
        <w:t>49</w:t>
      </w:r>
      <w:r w:rsidR="00667A79">
        <w:rPr>
          <w:rFonts w:eastAsia="Calibri" w:cs="Times New Roman"/>
          <w:lang w:bidi="en-US"/>
        </w:rPr>
        <w:t xml:space="preserve">. </w:t>
      </w:r>
      <w:r w:rsidR="001F24DE">
        <w:rPr>
          <w:rFonts w:eastAsia="Calibri" w:cs="Times New Roman"/>
          <w:lang w:bidi="en-US"/>
        </w:rPr>
        <w:t>The Russian Federation failed to implement these recommendations.</w:t>
      </w:r>
    </w:p>
    <w:p w14:paraId="2278A71D" w14:textId="702AACC1" w:rsidR="001F24DE" w:rsidRDefault="00667A79" w:rsidP="00386375">
      <w:pPr>
        <w:spacing w:before="100" w:beforeAutospacing="1" w:after="100" w:afterAutospacing="1" w:line="360" w:lineRule="auto"/>
        <w:rPr>
          <w:rFonts w:eastAsia="Calibri" w:cs="Times New Roman"/>
          <w:lang w:bidi="en-US"/>
        </w:rPr>
      </w:pPr>
      <w:r>
        <w:rPr>
          <w:rFonts w:eastAsia="Calibri" w:cs="Times New Roman"/>
          <w:lang w:bidi="en-US"/>
        </w:rPr>
        <w:lastRenderedPageBreak/>
        <w:t>5</w:t>
      </w:r>
      <w:r w:rsidR="00400BE2">
        <w:rPr>
          <w:rFonts w:eastAsia="Calibri" w:cs="Times New Roman"/>
          <w:lang w:bidi="en-US"/>
        </w:rPr>
        <w:t>0</w:t>
      </w:r>
      <w:r>
        <w:rPr>
          <w:rFonts w:eastAsia="Calibri" w:cs="Times New Roman"/>
          <w:lang w:bidi="en-US"/>
        </w:rPr>
        <w:t xml:space="preserve">. </w:t>
      </w:r>
      <w:r w:rsidR="001F24DE">
        <w:rPr>
          <w:rFonts w:eastAsia="Calibri" w:cs="Times New Roman"/>
          <w:lang w:bidi="en-US"/>
        </w:rPr>
        <w:t>In August 2017 a coalition of LGBT organizations presented a joint report for CESCR. The report attests to multiple cases of systematic and serious human rights violations, including violence against people from LGBT communities</w:t>
      </w:r>
      <w:r w:rsidR="00945780">
        <w:rPr>
          <w:rFonts w:eastAsia="Calibri" w:cs="Times New Roman"/>
          <w:lang w:bidi="en-US"/>
        </w:rPr>
        <w:t>, and the violation of the right to health due to the lack of HIV prevention among MSM</w:t>
      </w:r>
      <w:r w:rsidR="007F3A61">
        <w:rPr>
          <w:rFonts w:eastAsia="Calibri" w:cs="Times New Roman"/>
          <w:lang w:bidi="en-US"/>
        </w:rPr>
        <w:t xml:space="preserve"> and transgender persons</w:t>
      </w:r>
      <w:r w:rsidR="001F24DE">
        <w:rPr>
          <w:rFonts w:eastAsia="Calibri" w:cs="Times New Roman"/>
          <w:lang w:bidi="en-US"/>
        </w:rPr>
        <w:t>. The state-sponsored stigma and discrimination, including the anti-gay propaganda laws, is a particular reason for these violations.</w:t>
      </w:r>
      <w:r w:rsidR="001F24DE">
        <w:rPr>
          <w:rStyle w:val="af0"/>
          <w:rFonts w:eastAsia="Calibri" w:cs="Times New Roman"/>
          <w:lang w:bidi="en-US"/>
        </w:rPr>
        <w:endnoteReference w:id="47"/>
      </w:r>
      <w:r w:rsidR="00945780">
        <w:rPr>
          <w:rFonts w:eastAsia="Calibri" w:cs="Times New Roman"/>
          <w:lang w:bidi="en-US"/>
        </w:rPr>
        <w:t xml:space="preserve"> </w:t>
      </w:r>
    </w:p>
    <w:p w14:paraId="601B854B" w14:textId="77777777" w:rsidR="00FA7B90" w:rsidRDefault="00FA7B90" w:rsidP="00FA7B90">
      <w:pPr>
        <w:spacing w:before="100" w:beforeAutospacing="1" w:after="100" w:afterAutospacing="1" w:line="360" w:lineRule="auto"/>
        <w:rPr>
          <w:rFonts w:cs="Times New Roman"/>
          <w:b/>
        </w:rPr>
      </w:pPr>
      <w:r w:rsidRPr="0043480A">
        <w:rPr>
          <w:rFonts w:cs="Times New Roman"/>
          <w:b/>
        </w:rPr>
        <w:t>UN HUMAN RIGHTS TREATY BODIES</w:t>
      </w:r>
      <w:r>
        <w:rPr>
          <w:rFonts w:cs="Times New Roman"/>
          <w:b/>
        </w:rPr>
        <w:t xml:space="preserve"> AND UN AGENCIES</w:t>
      </w:r>
      <w:r w:rsidRPr="0043480A">
        <w:rPr>
          <w:rFonts w:cs="Times New Roman"/>
          <w:b/>
        </w:rPr>
        <w:t xml:space="preserve"> RECOGNIZE THESE FACTORS OF STIGMA AND DISCRIMINATION AND MADE IMPORTANT RECOMMENDATIONS TO THE RUSSIAN FEDERATION.</w:t>
      </w:r>
    </w:p>
    <w:p w14:paraId="3343FAC6" w14:textId="4BD5404D" w:rsidR="00FA7B90" w:rsidRDefault="00400BE2" w:rsidP="009208CE">
      <w:pPr>
        <w:spacing w:line="360" w:lineRule="auto"/>
        <w:rPr>
          <w:rFonts w:eastAsia="Calibri" w:cs="Times New Roman"/>
          <w:lang w:bidi="en-US"/>
        </w:rPr>
      </w:pPr>
      <w:r>
        <w:rPr>
          <w:rFonts w:eastAsia="Calibri" w:cs="Times New Roman"/>
          <w:lang w:bidi="en-US"/>
        </w:rPr>
        <w:t>51</w:t>
      </w:r>
      <w:r w:rsidR="00667A79">
        <w:rPr>
          <w:rFonts w:eastAsia="Calibri" w:cs="Times New Roman"/>
          <w:lang w:bidi="en-US"/>
        </w:rPr>
        <w:t xml:space="preserve">. </w:t>
      </w:r>
      <w:r w:rsidR="00FA7B90">
        <w:rPr>
          <w:rFonts w:eastAsia="Calibri" w:cs="Times New Roman"/>
          <w:lang w:bidi="en-US"/>
        </w:rPr>
        <w:t xml:space="preserve">CEDAW recommended the Russian Federation to </w:t>
      </w:r>
      <w:r w:rsidR="00FA7B90" w:rsidRPr="00FA7B90">
        <w:rPr>
          <w:rFonts w:eastAsia="Calibri" w:cs="Times New Roman"/>
          <w:lang w:bidi="en-US"/>
        </w:rPr>
        <w:t>provide necessary protection against discrimination and violence against lesbian, bisexual, transgender and intersex women, in particular through the adoption of anti-discrimination legislation and the revision of the existing discriminatory laws that prohibit inter</w:t>
      </w:r>
      <w:r w:rsidR="00FA7B90">
        <w:rPr>
          <w:rFonts w:eastAsia="Calibri" w:cs="Times New Roman"/>
          <w:lang w:bidi="en-US"/>
        </w:rPr>
        <w:t>secting forms of discrimination.</w:t>
      </w:r>
      <w:r w:rsidR="00FA7B90">
        <w:rPr>
          <w:rStyle w:val="af0"/>
          <w:rFonts w:eastAsia="Calibri" w:cs="Times New Roman"/>
          <w:lang w:bidi="en-US"/>
        </w:rPr>
        <w:endnoteReference w:id="48"/>
      </w:r>
    </w:p>
    <w:p w14:paraId="3580254F" w14:textId="77777777" w:rsidR="00FA7B90" w:rsidRDefault="00FA7B90" w:rsidP="009208CE">
      <w:pPr>
        <w:spacing w:line="360" w:lineRule="auto"/>
        <w:rPr>
          <w:rFonts w:eastAsia="Calibri" w:cs="Times New Roman"/>
          <w:lang w:bidi="en-US"/>
        </w:rPr>
      </w:pPr>
    </w:p>
    <w:p w14:paraId="7632358D" w14:textId="2C459848" w:rsidR="00FA7B90" w:rsidRPr="00FA7B90" w:rsidRDefault="00400BE2" w:rsidP="009208CE">
      <w:pPr>
        <w:spacing w:line="360" w:lineRule="auto"/>
        <w:rPr>
          <w:rFonts w:eastAsia="Calibri" w:cs="Times New Roman"/>
          <w:lang w:bidi="en-US"/>
        </w:rPr>
      </w:pPr>
      <w:r>
        <w:rPr>
          <w:rFonts w:eastAsia="Calibri" w:cs="Times New Roman"/>
          <w:lang w:bidi="en-US"/>
        </w:rPr>
        <w:t>52</w:t>
      </w:r>
      <w:r w:rsidR="00667A79">
        <w:rPr>
          <w:rFonts w:eastAsia="Calibri" w:cs="Times New Roman"/>
          <w:lang w:bidi="en-US"/>
        </w:rPr>
        <w:t xml:space="preserve">. </w:t>
      </w:r>
      <w:r w:rsidR="00FA7B90">
        <w:rPr>
          <w:rFonts w:eastAsia="Calibri" w:cs="Times New Roman"/>
          <w:lang w:bidi="en-US"/>
        </w:rPr>
        <w:t xml:space="preserve">HRC recommended </w:t>
      </w:r>
      <w:r w:rsidR="00F31033">
        <w:rPr>
          <w:rFonts w:eastAsia="Calibri" w:cs="Times New Roman"/>
          <w:lang w:bidi="en-US"/>
        </w:rPr>
        <w:t xml:space="preserve">that </w:t>
      </w:r>
      <w:r w:rsidR="00FA7B90">
        <w:rPr>
          <w:rFonts w:eastAsia="Calibri" w:cs="Times New Roman"/>
          <w:lang w:bidi="en-US"/>
        </w:rPr>
        <w:t xml:space="preserve">the Russian Federation </w:t>
      </w:r>
      <w:r w:rsidR="00FA7B90" w:rsidRPr="00FA7B90">
        <w:rPr>
          <w:rFonts w:eastAsia="Calibri" w:cs="Times New Roman"/>
          <w:lang w:bidi="en-US"/>
        </w:rPr>
        <w:t xml:space="preserve">should clearly and officially state that it does not tolerate any form of social stigmatization of homosexuality, bisexuality or </w:t>
      </w:r>
      <w:r w:rsidR="00E96729" w:rsidRPr="00FA7B90">
        <w:rPr>
          <w:rFonts w:eastAsia="Calibri" w:cs="Times New Roman"/>
          <w:lang w:bidi="en-US"/>
        </w:rPr>
        <w:t>transsexuality</w:t>
      </w:r>
      <w:r w:rsidR="00FA7B90" w:rsidRPr="00FA7B90">
        <w:rPr>
          <w:rFonts w:eastAsia="Calibri" w:cs="Times New Roman"/>
          <w:lang w:bidi="en-US"/>
        </w:rPr>
        <w:t>, or hate speech, discrimination or viole</w:t>
      </w:r>
      <w:r w:rsidR="00E96729">
        <w:rPr>
          <w:rFonts w:eastAsia="Calibri" w:cs="Times New Roman"/>
          <w:lang w:bidi="en-US"/>
        </w:rPr>
        <w:t>nce against persons based on th</w:t>
      </w:r>
      <w:r w:rsidR="00FA7B90" w:rsidRPr="00FA7B90">
        <w:rPr>
          <w:rFonts w:eastAsia="Calibri" w:cs="Times New Roman"/>
          <w:lang w:bidi="en-US"/>
        </w:rPr>
        <w:t xml:space="preserve">eir sexual </w:t>
      </w:r>
      <w:r w:rsidR="00F31033">
        <w:rPr>
          <w:rFonts w:eastAsia="Calibri" w:cs="Times New Roman"/>
          <w:lang w:bidi="en-US"/>
        </w:rPr>
        <w:t>orientation or gender identity; and t</w:t>
      </w:r>
      <w:r w:rsidR="00FA7B90" w:rsidRPr="00FA7B90">
        <w:rPr>
          <w:rFonts w:eastAsia="Calibri" w:cs="Times New Roman"/>
          <w:lang w:bidi="en-US"/>
        </w:rPr>
        <w:t>ake all the steps necessary to strengthen the legal framework protecting LGBT individuals from discrimination and violence and ensure the investigation, prosecution</w:t>
      </w:r>
      <w:r w:rsidR="00E96729">
        <w:rPr>
          <w:rFonts w:eastAsia="Calibri" w:cs="Times New Roman"/>
          <w:lang w:bidi="en-US"/>
        </w:rPr>
        <w:t xml:space="preserve"> and punishment of any act of v</w:t>
      </w:r>
      <w:r w:rsidR="00FA7B90" w:rsidRPr="00FA7B90">
        <w:rPr>
          <w:rFonts w:eastAsia="Calibri" w:cs="Times New Roman"/>
          <w:lang w:bidi="en-US"/>
        </w:rPr>
        <w:t>iolence motivated by the victim’s sexual orientation or gender identity;</w:t>
      </w:r>
      <w:r w:rsidR="00F31033">
        <w:rPr>
          <w:rFonts w:eastAsia="Calibri" w:cs="Times New Roman"/>
          <w:lang w:bidi="en-US"/>
        </w:rPr>
        <w:t xml:space="preserve"> r</w:t>
      </w:r>
      <w:r w:rsidR="00FA7B90" w:rsidRPr="00FA7B90">
        <w:rPr>
          <w:rFonts w:eastAsia="Calibri" w:cs="Times New Roman"/>
          <w:lang w:bidi="en-US"/>
        </w:rPr>
        <w:t>epeal laws banning the “promotion of non-traditional sexual relations to minors” adopted at</w:t>
      </w:r>
      <w:r w:rsidR="00F31033">
        <w:rPr>
          <w:rFonts w:eastAsia="Calibri" w:cs="Times New Roman"/>
          <w:lang w:bidi="en-US"/>
        </w:rPr>
        <w:t xml:space="preserve"> the regional and federal levels</w:t>
      </w:r>
      <w:r w:rsidR="00FA7B90" w:rsidRPr="00FA7B90">
        <w:rPr>
          <w:rFonts w:eastAsia="Calibri" w:cs="Times New Roman"/>
          <w:lang w:bidi="en-US"/>
        </w:rPr>
        <w:t>;</w:t>
      </w:r>
      <w:r w:rsidR="00F31033">
        <w:rPr>
          <w:rFonts w:eastAsia="Calibri" w:cs="Times New Roman"/>
          <w:lang w:bidi="en-US"/>
        </w:rPr>
        <w:t xml:space="preserve"> e</w:t>
      </w:r>
      <w:r w:rsidR="00FA7B90" w:rsidRPr="00FA7B90">
        <w:rPr>
          <w:rFonts w:eastAsia="Calibri" w:cs="Times New Roman"/>
          <w:lang w:bidi="en-US"/>
        </w:rPr>
        <w:t>xclude transgender identity, bi - gender identity, asexuality and cross-dressing from the list of medical conditions constituti</w:t>
      </w:r>
      <w:r w:rsidR="00F31033">
        <w:rPr>
          <w:rFonts w:eastAsia="Calibri" w:cs="Times New Roman"/>
          <w:lang w:bidi="en-US"/>
        </w:rPr>
        <w:t>ng contraindications to driving</w:t>
      </w:r>
      <w:r w:rsidR="00FA7B90" w:rsidRPr="00FA7B90">
        <w:rPr>
          <w:rFonts w:eastAsia="Calibri" w:cs="Times New Roman"/>
          <w:lang w:bidi="en-US"/>
        </w:rPr>
        <w:t>;</w:t>
      </w:r>
      <w:r w:rsidR="00F31033">
        <w:rPr>
          <w:rFonts w:eastAsia="Calibri" w:cs="Times New Roman"/>
          <w:lang w:bidi="en-US"/>
        </w:rPr>
        <w:t xml:space="preserve"> g</w:t>
      </w:r>
      <w:r w:rsidR="00FA7B90" w:rsidRPr="00FA7B90">
        <w:rPr>
          <w:rFonts w:eastAsia="Calibri" w:cs="Times New Roman"/>
          <w:lang w:bidi="en-US"/>
        </w:rPr>
        <w:t>uarantee the exercise in practice of the rights to freedom of expression and assembly of LGBT individuals and their supporters .</w:t>
      </w:r>
      <w:r w:rsidR="00F31033">
        <w:rPr>
          <w:rStyle w:val="af0"/>
          <w:rFonts w:eastAsia="Calibri" w:cs="Times New Roman"/>
          <w:lang w:bidi="en-US"/>
        </w:rPr>
        <w:endnoteReference w:id="49"/>
      </w:r>
    </w:p>
    <w:p w14:paraId="14F6EE2A" w14:textId="1B71BF81" w:rsidR="00FA7B90" w:rsidRDefault="00400BE2" w:rsidP="009208CE">
      <w:pPr>
        <w:spacing w:before="100" w:beforeAutospacing="1" w:after="100" w:afterAutospacing="1" w:line="360" w:lineRule="auto"/>
        <w:rPr>
          <w:rFonts w:eastAsia="Calibri" w:cs="Times New Roman"/>
          <w:lang w:bidi="en-US"/>
        </w:rPr>
      </w:pPr>
      <w:r>
        <w:rPr>
          <w:rFonts w:eastAsia="Calibri" w:cs="Times New Roman"/>
          <w:lang w:bidi="en-US"/>
        </w:rPr>
        <w:t>53</w:t>
      </w:r>
      <w:r w:rsidR="00667A79">
        <w:rPr>
          <w:rFonts w:eastAsia="Calibri" w:cs="Times New Roman"/>
          <w:lang w:bidi="en-US"/>
        </w:rPr>
        <w:t xml:space="preserve">. </w:t>
      </w:r>
      <w:r w:rsidR="00F31033">
        <w:rPr>
          <w:rFonts w:eastAsia="Calibri" w:cs="Times New Roman"/>
          <w:lang w:bidi="en-US"/>
        </w:rPr>
        <w:t>The UN Committee against torture (CAT) recommended the Russian Federation to t</w:t>
      </w:r>
      <w:r w:rsidR="00F31033" w:rsidRPr="00F31033">
        <w:rPr>
          <w:rFonts w:eastAsia="Calibri" w:cs="Times New Roman"/>
          <w:lang w:bidi="en-US"/>
        </w:rPr>
        <w:t xml:space="preserve">ake effective measures to ensure the protection </w:t>
      </w:r>
      <w:r w:rsidR="00F31033">
        <w:rPr>
          <w:rFonts w:eastAsia="Calibri" w:cs="Times New Roman"/>
          <w:lang w:bidi="en-US"/>
        </w:rPr>
        <w:t xml:space="preserve">of </w:t>
      </w:r>
      <w:r w:rsidR="00F31033" w:rsidRPr="00F31033">
        <w:rPr>
          <w:rFonts w:eastAsia="Calibri" w:cs="Times New Roman"/>
          <w:lang w:bidi="en-US"/>
        </w:rPr>
        <w:t>LGBT persons</w:t>
      </w:r>
      <w:r w:rsidR="00F31033">
        <w:rPr>
          <w:rFonts w:eastAsia="Calibri" w:cs="Times New Roman"/>
          <w:lang w:bidi="en-US"/>
        </w:rPr>
        <w:t xml:space="preserve">, and </w:t>
      </w:r>
      <w:r w:rsidR="00F31033" w:rsidRPr="00F31033">
        <w:rPr>
          <w:rFonts w:eastAsia="Calibri" w:cs="Times New Roman"/>
          <w:lang w:bidi="en-US"/>
        </w:rPr>
        <w:t>condemn attacks against LGBT persons, organize awareness-raising campaigns, including among the police, promoting tolerance and respect for diversity.</w:t>
      </w:r>
      <w:r w:rsidR="00F31033">
        <w:rPr>
          <w:rStyle w:val="af0"/>
          <w:rFonts w:eastAsia="Calibri" w:cs="Times New Roman"/>
          <w:lang w:bidi="en-US"/>
        </w:rPr>
        <w:endnoteReference w:id="50"/>
      </w:r>
    </w:p>
    <w:p w14:paraId="1F797C52" w14:textId="44C64351" w:rsidR="00945780" w:rsidRDefault="00400BE2" w:rsidP="00386375">
      <w:pPr>
        <w:spacing w:before="100" w:beforeAutospacing="1" w:after="100" w:afterAutospacing="1" w:line="360" w:lineRule="auto"/>
        <w:rPr>
          <w:rFonts w:eastAsia="Calibri" w:cs="Times New Roman"/>
          <w:lang w:bidi="en-US"/>
        </w:rPr>
      </w:pPr>
      <w:r>
        <w:rPr>
          <w:rFonts w:eastAsia="Calibri" w:cs="Times New Roman"/>
          <w:lang w:bidi="en-US"/>
        </w:rPr>
        <w:lastRenderedPageBreak/>
        <w:t>54</w:t>
      </w:r>
      <w:r w:rsidR="00667A79">
        <w:rPr>
          <w:rFonts w:eastAsia="Calibri" w:cs="Times New Roman"/>
          <w:lang w:bidi="en-US"/>
        </w:rPr>
        <w:t xml:space="preserve">. </w:t>
      </w:r>
      <w:r w:rsidR="009208CE">
        <w:rPr>
          <w:rFonts w:eastAsia="Calibri" w:cs="Times New Roman"/>
          <w:lang w:bidi="en-US"/>
        </w:rPr>
        <w:t xml:space="preserve">The Russian </w:t>
      </w:r>
      <w:r w:rsidR="00E96729">
        <w:rPr>
          <w:rFonts w:eastAsia="Calibri" w:cs="Times New Roman"/>
          <w:lang w:bidi="en-US"/>
        </w:rPr>
        <w:t>Federation</w:t>
      </w:r>
      <w:r w:rsidR="009208CE">
        <w:rPr>
          <w:rFonts w:eastAsia="Calibri" w:cs="Times New Roman"/>
          <w:lang w:bidi="en-US"/>
        </w:rPr>
        <w:t xml:space="preserve"> did not fulfill these recommendations. We argue that had</w:t>
      </w:r>
      <w:r>
        <w:rPr>
          <w:rFonts w:eastAsia="Calibri" w:cs="Times New Roman"/>
          <w:lang w:bidi="en-US"/>
        </w:rPr>
        <w:t xml:space="preserve"> the Russian Federation paid hee</w:t>
      </w:r>
      <w:r w:rsidR="009208CE">
        <w:rPr>
          <w:rFonts w:eastAsia="Calibri" w:cs="Times New Roman"/>
          <w:lang w:bidi="en-US"/>
        </w:rPr>
        <w:t>d to these recommendations, the vulnerability of MSM to HIV would have been significantly reduced.</w:t>
      </w:r>
    </w:p>
    <w:p w14:paraId="68822EB9" w14:textId="77777777" w:rsidR="008E6141" w:rsidRDefault="008E6141" w:rsidP="008E6141">
      <w:pPr>
        <w:spacing w:before="100" w:beforeAutospacing="1" w:after="100" w:afterAutospacing="1" w:line="360" w:lineRule="auto"/>
        <w:rPr>
          <w:rFonts w:cs="Times New Roman"/>
          <w:b/>
        </w:rPr>
      </w:pPr>
      <w:r w:rsidRPr="00EB289F">
        <w:rPr>
          <w:rFonts w:cs="Times New Roman"/>
          <w:b/>
        </w:rPr>
        <w:t xml:space="preserve">RECOMMENDATIONS TO THE RUSSIAN FEDERATION DURING THE THIRD UPR CYCLE WITH RESPECT TO HIV </w:t>
      </w:r>
      <w:r>
        <w:rPr>
          <w:rFonts w:cs="Times New Roman"/>
          <w:b/>
        </w:rPr>
        <w:t>A</w:t>
      </w:r>
      <w:r w:rsidRPr="00EB289F">
        <w:rPr>
          <w:rFonts w:cs="Times New Roman"/>
          <w:b/>
        </w:rPr>
        <w:t xml:space="preserve">FFECTED POPULATION – </w:t>
      </w:r>
      <w:r>
        <w:rPr>
          <w:rFonts w:cs="Times New Roman"/>
          <w:b/>
        </w:rPr>
        <w:t>MSM</w:t>
      </w:r>
    </w:p>
    <w:p w14:paraId="1D032BD9" w14:textId="77777777" w:rsidR="008E6141" w:rsidRPr="008E6141" w:rsidRDefault="008E6141" w:rsidP="008E6141">
      <w:pPr>
        <w:pStyle w:val="a6"/>
        <w:numPr>
          <w:ilvl w:val="0"/>
          <w:numId w:val="5"/>
        </w:numPr>
        <w:spacing w:before="100" w:beforeAutospacing="1" w:after="100" w:afterAutospacing="1" w:line="360" w:lineRule="auto"/>
        <w:rPr>
          <w:rFonts w:eastAsia="Calibri" w:cs="Times New Roman"/>
          <w:lang w:bidi="en-US"/>
        </w:rPr>
      </w:pPr>
      <w:r w:rsidRPr="008E6141">
        <w:rPr>
          <w:rFonts w:eastAsia="Calibri" w:cs="Times New Roman"/>
          <w:lang w:bidi="en-US"/>
        </w:rPr>
        <w:t>Address the vulnerability of men who have sex with men and transgender persons to HIV and provide them with necessary protection against discrimination and violence, in particular through the adoption of anti-discrimination legislation and the revision of the existing discriminatory laws that prohibit information related to “non-traditional sexual relations”.</w:t>
      </w:r>
    </w:p>
    <w:p w14:paraId="4F105F15" w14:textId="2E084B24" w:rsidR="008E6141" w:rsidRPr="008E6141" w:rsidRDefault="008E6141" w:rsidP="008E6141">
      <w:pPr>
        <w:pStyle w:val="a6"/>
        <w:numPr>
          <w:ilvl w:val="0"/>
          <w:numId w:val="5"/>
        </w:numPr>
        <w:spacing w:before="100" w:beforeAutospacing="1" w:after="100" w:afterAutospacing="1" w:line="360" w:lineRule="auto"/>
        <w:rPr>
          <w:rFonts w:cs="Times New Roman"/>
          <w:b/>
        </w:rPr>
      </w:pPr>
      <w:r w:rsidRPr="008E6141">
        <w:rPr>
          <w:rFonts w:eastAsia="Calibri" w:cs="Times New Roman"/>
          <w:lang w:bidi="en-US"/>
        </w:rPr>
        <w:t>Provide support for science-based and human rights oriented HIV prevention, treatment and care services for MSM and transgender persons.</w:t>
      </w:r>
      <w:r w:rsidRPr="008E6141">
        <w:rPr>
          <w:rFonts w:cs="Times New Roman"/>
          <w:b/>
        </w:rPr>
        <w:t xml:space="preserve"> </w:t>
      </w:r>
    </w:p>
    <w:p w14:paraId="6F159655" w14:textId="0479791A" w:rsidR="004B5793" w:rsidRPr="00F87900" w:rsidRDefault="00F87900" w:rsidP="004B5793">
      <w:pPr>
        <w:rPr>
          <w:rFonts w:eastAsia="Times New Roman" w:cs="Times New Roman"/>
          <w:b/>
        </w:rPr>
      </w:pPr>
      <w:r w:rsidRPr="00F87900">
        <w:rPr>
          <w:rFonts w:eastAsia="Times New Roman" w:cs="Times New Roman"/>
          <w:b/>
        </w:rPr>
        <w:t>ANNEX I</w:t>
      </w:r>
    </w:p>
    <w:p w14:paraId="6F6C002D" w14:textId="77777777" w:rsidR="003C76E8" w:rsidRDefault="003C76E8" w:rsidP="004B5793">
      <w:pPr>
        <w:rPr>
          <w:rFonts w:eastAsia="Times New Roman" w:cs="Times New Roman"/>
        </w:rPr>
      </w:pPr>
    </w:p>
    <w:p w14:paraId="083394B7" w14:textId="76384F80" w:rsidR="003C76E8" w:rsidRDefault="003C76E8" w:rsidP="003C76E8">
      <w:r>
        <w:rPr>
          <w:noProof/>
          <w:lang w:val="ru-RU" w:eastAsia="ru-RU"/>
        </w:rPr>
        <w:drawing>
          <wp:anchor distT="0" distB="0" distL="114300" distR="114300" simplePos="0" relativeHeight="251660288" behindDoc="1" locked="0" layoutInCell="1" allowOverlap="1" wp14:anchorId="241FF928" wp14:editId="34748C54">
            <wp:simplePos x="0" y="0"/>
            <wp:positionH relativeFrom="column">
              <wp:posOffset>-98425</wp:posOffset>
            </wp:positionH>
            <wp:positionV relativeFrom="paragraph">
              <wp:posOffset>96520</wp:posOffset>
            </wp:positionV>
            <wp:extent cx="1072515" cy="746125"/>
            <wp:effectExtent l="0" t="0" r="0" b="0"/>
            <wp:wrapTight wrapText="bothSides">
              <wp:wrapPolygon edited="0">
                <wp:start x="0" y="0"/>
                <wp:lineTo x="0" y="20957"/>
                <wp:lineTo x="21101" y="20957"/>
                <wp:lineTo x="211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15" cy="746125"/>
                    </a:xfrm>
                    <a:prstGeom prst="rect">
                      <a:avLst/>
                    </a:prstGeom>
                    <a:noFill/>
                  </pic:spPr>
                </pic:pic>
              </a:graphicData>
            </a:graphic>
            <wp14:sizeRelH relativeFrom="page">
              <wp14:pctWidth>0</wp14:pctWidth>
            </wp14:sizeRelH>
            <wp14:sizeRelV relativeFrom="page">
              <wp14:pctHeight>0</wp14:pctHeight>
            </wp14:sizeRelV>
          </wp:anchor>
        </w:drawing>
      </w:r>
    </w:p>
    <w:p w14:paraId="3DDCECCC" w14:textId="77777777" w:rsidR="003C76E8" w:rsidRDefault="003C76E8" w:rsidP="003C76E8">
      <w:pPr>
        <w:jc w:val="both"/>
      </w:pPr>
      <w:r>
        <w:t>Andrey Rylkov Foundation for Health and Social Justice (www.rylkov-fond.org) is a grass-roots organization from Moscow, Russia with the mission to promote and develop humane drug policy based on tolerance, protection of health, dignity and human rights. The Foundation engages in 4 key strategies to advance its mission: advocacy, watchdog, service provision and capacity building of affected communities and individuals. From 2009 the Foundation serves as a Secretariat for the Russian Public Mechanism for Monitoring of Drug Policy reform, a consortium of more than 70 civil society activists, legal and medical professionals, which are committed to improve drug policy in Russia through legal and policy analysis, information sharing, and strategic litigation.</w:t>
      </w:r>
    </w:p>
    <w:p w14:paraId="5F75306A" w14:textId="77777777" w:rsidR="003C76E8" w:rsidRDefault="003C76E8" w:rsidP="003C76E8"/>
    <w:p w14:paraId="2DCF3856" w14:textId="20E8FE25" w:rsidR="003C76E8" w:rsidRDefault="003C76E8" w:rsidP="003C76E8">
      <w:pPr>
        <w:rPr>
          <w:i/>
        </w:rPr>
      </w:pPr>
      <w:r>
        <w:rPr>
          <w:rFonts w:eastAsia="SimSun"/>
          <w:i/>
          <w:sz w:val="22"/>
          <w:szCs w:val="22"/>
          <w:lang w:eastAsia="zh-CN"/>
        </w:rPr>
        <w:t xml:space="preserve">                             Address: </w:t>
      </w:r>
      <w:r>
        <w:rPr>
          <w:i/>
        </w:rPr>
        <w:t xml:space="preserve">17-82 Marshala Biryzova </w:t>
      </w:r>
      <w:r w:rsidR="00E96729">
        <w:rPr>
          <w:i/>
        </w:rPr>
        <w:t>Street</w:t>
      </w:r>
      <w:r>
        <w:rPr>
          <w:i/>
        </w:rPr>
        <w:t>, Moscow, Russia, 123060</w:t>
      </w:r>
    </w:p>
    <w:p w14:paraId="01B10F51" w14:textId="77777777" w:rsidR="003C76E8" w:rsidRDefault="003C76E8" w:rsidP="003C76E8">
      <w:pPr>
        <w:rPr>
          <w:i/>
        </w:rPr>
      </w:pPr>
    </w:p>
    <w:p w14:paraId="00A54243" w14:textId="77777777" w:rsidR="003C76E8" w:rsidRDefault="003C76E8" w:rsidP="003C76E8">
      <w:r>
        <w:t>In preparation of this report the Foundation was assisted by the Canadian HIV/AIDS Legal Network</w:t>
      </w:r>
    </w:p>
    <w:p w14:paraId="5EEBC1C8" w14:textId="77777777" w:rsidR="003C76E8" w:rsidRDefault="003C76E8" w:rsidP="003C76E8">
      <w:pPr>
        <w:autoSpaceDE w:val="0"/>
        <w:autoSpaceDN w:val="0"/>
        <w:adjustRightInd w:val="0"/>
        <w:ind w:right="-357"/>
        <w:jc w:val="both"/>
        <w:rPr>
          <w:rFonts w:eastAsia="SimSun"/>
          <w:sz w:val="22"/>
          <w:szCs w:val="22"/>
          <w:lang w:eastAsia="zh-CN"/>
        </w:rPr>
      </w:pPr>
    </w:p>
    <w:p w14:paraId="15760466" w14:textId="051E27DB" w:rsidR="003C76E8" w:rsidRDefault="003C76E8" w:rsidP="003C76E8">
      <w:pPr>
        <w:autoSpaceDE w:val="0"/>
        <w:autoSpaceDN w:val="0"/>
        <w:adjustRightInd w:val="0"/>
        <w:ind w:right="-7"/>
        <w:jc w:val="both"/>
        <w:rPr>
          <w:rFonts w:eastAsia="SimSun"/>
          <w:sz w:val="22"/>
          <w:szCs w:val="22"/>
          <w:lang w:eastAsia="zh-CN"/>
        </w:rPr>
      </w:pPr>
      <w:r>
        <w:rPr>
          <w:noProof/>
          <w:lang w:val="ru-RU" w:eastAsia="ru-RU"/>
        </w:rPr>
        <w:drawing>
          <wp:anchor distT="0" distB="0" distL="114300" distR="114300" simplePos="0" relativeHeight="251659264" behindDoc="0" locked="0" layoutInCell="1" allowOverlap="1" wp14:anchorId="79A649C5" wp14:editId="298F9A46">
            <wp:simplePos x="0" y="0"/>
            <wp:positionH relativeFrom="column">
              <wp:posOffset>0</wp:posOffset>
            </wp:positionH>
            <wp:positionV relativeFrom="paragraph">
              <wp:posOffset>36195</wp:posOffset>
            </wp:positionV>
            <wp:extent cx="914400" cy="906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pic:spPr>
                </pic:pic>
              </a:graphicData>
            </a:graphic>
            <wp14:sizeRelH relativeFrom="page">
              <wp14:pctWidth>0</wp14:pctWidth>
            </wp14:sizeRelH>
            <wp14:sizeRelV relativeFrom="page">
              <wp14:pctHeight>0</wp14:pctHeight>
            </wp14:sizeRelV>
          </wp:anchor>
        </w:drawing>
      </w:r>
      <w:r>
        <w:rPr>
          <w:rFonts w:eastAsia="SimSun"/>
          <w:sz w:val="22"/>
          <w:szCs w:val="22"/>
          <w:lang w:eastAsia="zh-CN"/>
        </w:rPr>
        <w:t>The Canadian HIV/AIDS Legal Network (www.aidslaw.ca) promotes the human rights of people living with and vulnerable to HIV/AIDS, in Canada and internationally, through research and analysis, advocacy and litigation, public education and community mobilization. The Legal Network is Canada’s leading advocacy organization working on the legal and human rights issues raised by HIV/AIDS. (An NGO with Special Consultative Status with the Economic and Social Council of the United Nations)</w:t>
      </w:r>
    </w:p>
    <w:p w14:paraId="6B936F41" w14:textId="77777777" w:rsidR="003C76E8" w:rsidRDefault="003C76E8" w:rsidP="003C76E8">
      <w:pPr>
        <w:autoSpaceDE w:val="0"/>
        <w:autoSpaceDN w:val="0"/>
        <w:adjustRightInd w:val="0"/>
        <w:ind w:right="-357"/>
        <w:jc w:val="both"/>
        <w:rPr>
          <w:rFonts w:eastAsia="SimSun"/>
          <w:sz w:val="22"/>
          <w:szCs w:val="22"/>
          <w:lang w:eastAsia="zh-CN"/>
        </w:rPr>
      </w:pPr>
    </w:p>
    <w:p w14:paraId="12200548" w14:textId="77777777" w:rsidR="003C76E8" w:rsidRDefault="003C76E8" w:rsidP="003C76E8">
      <w:pPr>
        <w:autoSpaceDE w:val="0"/>
        <w:autoSpaceDN w:val="0"/>
        <w:adjustRightInd w:val="0"/>
        <w:ind w:right="-357"/>
        <w:jc w:val="both"/>
        <w:rPr>
          <w:rFonts w:eastAsia="SimSun"/>
          <w:i/>
          <w:sz w:val="22"/>
          <w:szCs w:val="22"/>
          <w:lang w:eastAsia="zh-CN"/>
        </w:rPr>
      </w:pPr>
      <w:r>
        <w:rPr>
          <w:rFonts w:eastAsia="SimSun"/>
          <w:sz w:val="22"/>
          <w:szCs w:val="22"/>
          <w:lang w:eastAsia="zh-CN"/>
        </w:rPr>
        <w:t xml:space="preserve">                              </w:t>
      </w:r>
      <w:r>
        <w:rPr>
          <w:rFonts w:eastAsia="SimSun"/>
          <w:i/>
          <w:sz w:val="22"/>
          <w:szCs w:val="22"/>
          <w:lang w:eastAsia="zh-CN"/>
        </w:rPr>
        <w:t>Address: 1240 Bay street, Suite 600,</w:t>
      </w:r>
      <w:r>
        <w:rPr>
          <w:rFonts w:ascii="Segoe UI" w:eastAsia="SimSun" w:hAnsi="Segoe UI"/>
          <w:i/>
          <w:sz w:val="22"/>
          <w:szCs w:val="22"/>
          <w:lang w:eastAsia="zh-CN"/>
        </w:rPr>
        <w:t xml:space="preserve"> </w:t>
      </w:r>
      <w:r>
        <w:rPr>
          <w:rFonts w:eastAsia="SimSun"/>
          <w:i/>
          <w:sz w:val="22"/>
          <w:szCs w:val="22"/>
          <w:lang w:eastAsia="zh-CN"/>
        </w:rPr>
        <w:t>Toronto, Ontario, Canada, M5R 2A7</w:t>
      </w:r>
    </w:p>
    <w:p w14:paraId="71774796" w14:textId="77777777" w:rsidR="003C76E8" w:rsidRDefault="003C76E8" w:rsidP="003C76E8">
      <w:pPr>
        <w:rPr>
          <w:rFonts w:eastAsia="Times New Roman"/>
          <w:i/>
          <w:sz w:val="22"/>
          <w:szCs w:val="22"/>
          <w:lang w:eastAsia="zh-CN"/>
        </w:rPr>
      </w:pPr>
      <w:r>
        <w:rPr>
          <w:rFonts w:eastAsia="Times New Roman"/>
          <w:i/>
          <w:sz w:val="22"/>
          <w:szCs w:val="22"/>
          <w:lang w:eastAsia="zh-CN"/>
        </w:rPr>
        <w:t xml:space="preserve">                              Tel: 1(416)595 1666; Fax: 1 (416) 595 0094</w:t>
      </w:r>
    </w:p>
    <w:p w14:paraId="12D5EC72" w14:textId="77777777" w:rsidR="003C76E8" w:rsidRDefault="003C76E8" w:rsidP="004B5793">
      <w:pPr>
        <w:rPr>
          <w:rFonts w:eastAsia="Times New Roman" w:cs="Times New Roman"/>
        </w:rPr>
      </w:pPr>
    </w:p>
    <w:p w14:paraId="33DC81F8" w14:textId="77777777" w:rsidR="003C76E8" w:rsidRPr="004B5793" w:rsidRDefault="003C76E8" w:rsidP="004B5793">
      <w:pPr>
        <w:rPr>
          <w:rFonts w:eastAsia="Times New Roman" w:cs="Times New Roman"/>
        </w:rPr>
      </w:pPr>
    </w:p>
    <w:p w14:paraId="3F8964DE" w14:textId="694C570B" w:rsidR="00F41B64" w:rsidRPr="00F41B64" w:rsidRDefault="00F41B64" w:rsidP="000525B4">
      <w:pPr>
        <w:rPr>
          <w:lang w:val="en-GB"/>
        </w:rPr>
      </w:pPr>
    </w:p>
    <w:sectPr w:rsidR="00F41B64" w:rsidRPr="00F41B64" w:rsidSect="000410A7">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A623D" w14:textId="77777777" w:rsidR="004C3710" w:rsidRDefault="004C3710" w:rsidP="00607BB7">
      <w:r>
        <w:separator/>
      </w:r>
    </w:p>
  </w:endnote>
  <w:endnote w:type="continuationSeparator" w:id="0">
    <w:p w14:paraId="7D67B9D6" w14:textId="77777777" w:rsidR="004C3710" w:rsidRDefault="004C3710" w:rsidP="00607BB7">
      <w:r>
        <w:continuationSeparator/>
      </w:r>
    </w:p>
  </w:endnote>
  <w:endnote w:id="1">
    <w:p w14:paraId="18930BB9" w14:textId="77777777" w:rsidR="001C42E3" w:rsidRPr="001C42E3" w:rsidRDefault="001C42E3" w:rsidP="00B775A3">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Global tuberculosis report 2016. Table 2.2 http://apps.who.int/iris/bitstream/10665/250441/1/9789241565394-eng.pdf?ua=1</w:t>
      </w:r>
    </w:p>
  </w:endnote>
  <w:endnote w:id="2">
    <w:p w14:paraId="6768F47F" w14:textId="77777777" w:rsidR="00DC3DB3" w:rsidRPr="00DC3DB3" w:rsidRDefault="00DC3DB3" w:rsidP="00DC3DB3">
      <w:pPr>
        <w:pStyle w:val="ae"/>
        <w:rPr>
          <w:rFonts w:ascii="Times New Roman" w:hAnsi="Times New Roman" w:cs="Times New Roman"/>
          <w:lang w:val="en-US"/>
        </w:rPr>
      </w:pPr>
      <w:r w:rsidRPr="00DC3DB3">
        <w:rPr>
          <w:rStyle w:val="af0"/>
          <w:rFonts w:ascii="Times New Roman" w:hAnsi="Times New Roman" w:cs="Times New Roman"/>
        </w:rPr>
        <w:endnoteRef/>
      </w:r>
      <w:r w:rsidRPr="00DC3DB3">
        <w:rPr>
          <w:rFonts w:ascii="Times New Roman" w:hAnsi="Times New Roman" w:cs="Times New Roman"/>
        </w:rPr>
        <w:t xml:space="preserve"> </w:t>
      </w:r>
      <w:r w:rsidRPr="00DC3DB3">
        <w:rPr>
          <w:rFonts w:ascii="Times New Roman" w:hAnsi="Times New Roman" w:cs="Times New Roman"/>
          <w:lang w:val="en-US"/>
        </w:rPr>
        <w:t>Human Rights Council. Twenty-Fourth Session. Report of the Working Group on the Universal</w:t>
      </w:r>
    </w:p>
    <w:p w14:paraId="75391F1B" w14:textId="7D349FA8" w:rsidR="00DC3DB3" w:rsidRPr="00DC3DB3" w:rsidRDefault="00DC3DB3" w:rsidP="00DC3DB3">
      <w:pPr>
        <w:pStyle w:val="ae"/>
        <w:rPr>
          <w:lang w:val="en-US"/>
        </w:rPr>
      </w:pPr>
      <w:r w:rsidRPr="00DC3DB3">
        <w:rPr>
          <w:rFonts w:ascii="Times New Roman" w:hAnsi="Times New Roman" w:cs="Times New Roman"/>
          <w:lang w:val="en-US"/>
        </w:rPr>
        <w:t>Periodic Review. Russian Federation. A/HRC/24/14. July 2013.</w:t>
      </w:r>
      <w:r>
        <w:rPr>
          <w:lang w:val="en-US"/>
        </w:rPr>
        <w:t xml:space="preserve"> </w:t>
      </w:r>
    </w:p>
  </w:endnote>
  <w:endnote w:id="3">
    <w:p w14:paraId="64039AA3" w14:textId="66677D26" w:rsidR="00DC3DB3" w:rsidRPr="00DC3DB3" w:rsidRDefault="00DC3DB3">
      <w:pPr>
        <w:pStyle w:val="ae"/>
        <w:rPr>
          <w:rFonts w:ascii="Times New Roman" w:hAnsi="Times New Roman" w:cs="Times New Roman"/>
          <w:lang w:val="en-US"/>
        </w:rPr>
      </w:pPr>
      <w:r>
        <w:rPr>
          <w:rStyle w:val="af0"/>
        </w:rPr>
        <w:endnoteRef/>
      </w:r>
      <w:r>
        <w:t xml:space="preserve"> </w:t>
      </w:r>
      <w:r>
        <w:rPr>
          <w:rFonts w:ascii="Times New Roman" w:hAnsi="Times New Roman" w:cs="Times New Roman"/>
          <w:lang w:val="en-US"/>
        </w:rPr>
        <w:t>Ibid</w:t>
      </w:r>
    </w:p>
  </w:endnote>
  <w:endnote w:id="4">
    <w:p w14:paraId="6647093A" w14:textId="77777777" w:rsidR="001C42E3" w:rsidRPr="001C42E3" w:rsidRDefault="001C42E3" w:rsidP="00267E7C">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Gus Cairns. Epidemiology. NAM. 9 January 2017. </w:t>
      </w:r>
      <w:hyperlink r:id="rId1" w:history="1">
        <w:r w:rsidRPr="001C42E3">
          <w:rPr>
            <w:rStyle w:val="a4"/>
            <w:rFonts w:ascii="Times New Roman" w:hAnsi="Times New Roman" w:cs="Times New Roman"/>
          </w:rPr>
          <w:t>http://www.aidsmap.com/Nearly-two-thirds-of-European-HIV-cases-are-now-in-Russia/page/3109895/</w:t>
        </w:r>
      </w:hyperlink>
      <w:r w:rsidRPr="001C42E3">
        <w:rPr>
          <w:rFonts w:ascii="Times New Roman" w:hAnsi="Times New Roman" w:cs="Times New Roman"/>
        </w:rPr>
        <w:t xml:space="preserve"> (Accessed October 4, 2017)</w:t>
      </w:r>
    </w:p>
  </w:endnote>
  <w:endnote w:id="5">
    <w:p w14:paraId="7C6407ED" w14:textId="77777777" w:rsidR="001C42E3" w:rsidRPr="001C42E3" w:rsidRDefault="001C42E3" w:rsidP="002B6E3D">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HIV in Russia. Statistics of the first part of 2017. September 11, 2017. </w:t>
      </w:r>
      <w:hyperlink r:id="rId2" w:history="1">
        <w:r w:rsidRPr="001C42E3">
          <w:rPr>
            <w:rStyle w:val="a4"/>
            <w:rFonts w:ascii="Times New Roman" w:hAnsi="Times New Roman" w:cs="Times New Roman"/>
          </w:rPr>
          <w:t>https://spid.center/articles/1420</w:t>
        </w:r>
      </w:hyperlink>
      <w:r w:rsidRPr="001C42E3">
        <w:rPr>
          <w:rFonts w:ascii="Times New Roman" w:hAnsi="Times New Roman" w:cs="Times New Roman"/>
        </w:rPr>
        <w:t xml:space="preserve"> (Accessed October 4, 2017)</w:t>
      </w:r>
    </w:p>
  </w:endnote>
  <w:endnote w:id="6">
    <w:p w14:paraId="2D7FBB79" w14:textId="77777777" w:rsidR="001C42E3" w:rsidRPr="001C42E3" w:rsidRDefault="001C42E3" w:rsidP="00D12C23">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Ibid</w:t>
      </w:r>
    </w:p>
  </w:endnote>
  <w:endnote w:id="7">
    <w:p w14:paraId="5362C683" w14:textId="1C88B482" w:rsidR="001C42E3" w:rsidRPr="001C42E3" w:rsidRDefault="001C42E3" w:rsidP="00F24977">
      <w:pPr>
        <w:rPr>
          <w:rFonts w:cs="Times New Roman"/>
          <w:sz w:val="20"/>
          <w:szCs w:val="20"/>
        </w:rPr>
      </w:pPr>
      <w:r w:rsidRPr="001C42E3">
        <w:rPr>
          <w:rFonts w:cs="Times New Roman"/>
          <w:vertAlign w:val="superscript"/>
        </w:rPr>
        <w:endnoteRef/>
      </w:r>
      <w:r w:rsidRPr="001C42E3">
        <w:rPr>
          <w:rFonts w:cs="Times New Roman"/>
          <w:sz w:val="20"/>
          <w:szCs w:val="20"/>
        </w:rPr>
        <w:t xml:space="preserve"> Epidemiological TB situation in Russia in 2015. Central Scientific-Research Institute of the Administration and Informatization of Public Health. The Ministry of Health of the Russian Federation. 2016.  </w:t>
      </w:r>
      <w:hyperlink r:id="rId3">
        <w:r w:rsidRPr="001C42E3">
          <w:rPr>
            <w:rFonts w:cs="Times New Roman"/>
            <w:color w:val="1155CC"/>
            <w:sz w:val="20"/>
            <w:szCs w:val="20"/>
            <w:u w:val="single"/>
          </w:rPr>
          <w:t>http://mednet.ru/images/stories/files/CMT/2016tb.pdf</w:t>
        </w:r>
      </w:hyperlink>
      <w:r w:rsidRPr="001C42E3">
        <w:rPr>
          <w:rFonts w:cs="Times New Roman"/>
          <w:sz w:val="20"/>
          <w:szCs w:val="20"/>
        </w:rPr>
        <w:t xml:space="preserve"> (Accessed 4 October 2017)</w:t>
      </w:r>
    </w:p>
  </w:endnote>
  <w:endnote w:id="8">
    <w:p w14:paraId="6DE4D932" w14:textId="77777777" w:rsidR="001C42E3" w:rsidRPr="001C42E3" w:rsidRDefault="001C42E3" w:rsidP="002B6E3D">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HIV in Russia.</w:t>
      </w:r>
    </w:p>
  </w:endnote>
  <w:endnote w:id="9">
    <w:p w14:paraId="4F3724F6" w14:textId="2020D0C3" w:rsidR="001C42E3" w:rsidRPr="001C42E3" w:rsidRDefault="001C42E3" w:rsidP="00B775A3">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WHO Global tuberculosis report 2016. Fig 3.20 </w:t>
      </w:r>
      <w:hyperlink r:id="rId4" w:history="1">
        <w:r w:rsidRPr="001C42E3">
          <w:rPr>
            <w:rStyle w:val="a4"/>
            <w:rFonts w:ascii="Times New Roman" w:hAnsi="Times New Roman" w:cs="Times New Roman"/>
          </w:rPr>
          <w:t>http://apps.who.int/iris/bitstream/10665/250441/1/9789241565394-eng.pdf?ua=1</w:t>
        </w:r>
      </w:hyperlink>
      <w:r w:rsidRPr="001C42E3">
        <w:rPr>
          <w:rFonts w:ascii="Times New Roman" w:hAnsi="Times New Roman" w:cs="Times New Roman"/>
        </w:rPr>
        <w:t xml:space="preserve"> (Accessed 4 October 2015)</w:t>
      </w:r>
    </w:p>
  </w:endnote>
  <w:endnote w:id="10">
    <w:p w14:paraId="2D63F816" w14:textId="38021E7F" w:rsidR="001C42E3" w:rsidRPr="001C42E3" w:rsidRDefault="001C42E3" w:rsidP="00F24977">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WHO Global tuberculosis report 2016. Table 2.2 </w:t>
      </w:r>
      <w:hyperlink r:id="rId5" w:history="1">
        <w:r w:rsidRPr="001C42E3">
          <w:rPr>
            <w:rStyle w:val="a4"/>
            <w:rFonts w:ascii="Times New Roman" w:hAnsi="Times New Roman" w:cs="Times New Roman"/>
          </w:rPr>
          <w:t>http://apps.who.int/iris/bitstream/10665/250441/1/9789241565394-eng.pdf?ua=1</w:t>
        </w:r>
      </w:hyperlink>
      <w:r w:rsidRPr="001C42E3">
        <w:rPr>
          <w:rFonts w:ascii="Times New Roman" w:hAnsi="Times New Roman" w:cs="Times New Roman"/>
        </w:rPr>
        <w:t xml:space="preserve"> (Accessed 4 October 2015)</w:t>
      </w:r>
    </w:p>
  </w:endnote>
  <w:endnote w:id="11">
    <w:p w14:paraId="60D1DDB4" w14:textId="0FC8C629" w:rsidR="001C42E3" w:rsidRPr="001C42E3" w:rsidRDefault="001C42E3" w:rsidP="00B775A3">
      <w:pPr>
        <w:rPr>
          <w:rFonts w:cs="Times New Roman"/>
          <w:sz w:val="20"/>
          <w:szCs w:val="20"/>
        </w:rPr>
      </w:pPr>
      <w:r w:rsidRPr="001C42E3">
        <w:rPr>
          <w:rFonts w:cs="Times New Roman"/>
          <w:vertAlign w:val="superscript"/>
        </w:rPr>
        <w:endnoteRef/>
      </w:r>
      <w:r w:rsidRPr="001C42E3">
        <w:rPr>
          <w:rFonts w:cs="Times New Roman"/>
          <w:sz w:val="20"/>
          <w:szCs w:val="20"/>
        </w:rPr>
        <w:t xml:space="preserve"> Epidemiological TB situation in Russia in 2015</w:t>
      </w:r>
    </w:p>
  </w:endnote>
  <w:endnote w:id="12">
    <w:p w14:paraId="6E332CF0" w14:textId="2225AFF7" w:rsidR="001C42E3" w:rsidRPr="001C42E3" w:rsidRDefault="001C42E3" w:rsidP="00B775A3">
      <w:pPr>
        <w:rPr>
          <w:rFonts w:cs="Times New Roman"/>
          <w:sz w:val="20"/>
          <w:szCs w:val="20"/>
        </w:rPr>
      </w:pPr>
      <w:r w:rsidRPr="001C42E3">
        <w:rPr>
          <w:rFonts w:cs="Times New Roman"/>
          <w:vertAlign w:val="superscript"/>
        </w:rPr>
        <w:endnoteRef/>
      </w:r>
      <w:r w:rsidRPr="001C42E3">
        <w:rPr>
          <w:rFonts w:cs="Times New Roman"/>
          <w:sz w:val="20"/>
          <w:szCs w:val="20"/>
        </w:rPr>
        <w:t xml:space="preserve"> Epidemiological TB situation in Russia in 2015</w:t>
      </w:r>
    </w:p>
  </w:endnote>
  <w:endnote w:id="13">
    <w:p w14:paraId="3C4FE3BB" w14:textId="4D4AB1D2" w:rsidR="001C42E3" w:rsidRPr="00AC1249" w:rsidRDefault="001C42E3" w:rsidP="00B775A3">
      <w:pPr>
        <w:rPr>
          <w:rFonts w:cs="Times New Roman"/>
          <w:sz w:val="20"/>
          <w:szCs w:val="20"/>
        </w:rPr>
      </w:pPr>
      <w:r w:rsidRPr="00AC1249">
        <w:rPr>
          <w:rFonts w:cs="Times New Roman"/>
          <w:sz w:val="20"/>
          <w:szCs w:val="20"/>
          <w:vertAlign w:val="superscript"/>
        </w:rPr>
        <w:endnoteRef/>
      </w:r>
      <w:r w:rsidRPr="00AC1249">
        <w:rPr>
          <w:rFonts w:cs="Times New Roman"/>
          <w:sz w:val="20"/>
          <w:szCs w:val="20"/>
        </w:rPr>
        <w:t xml:space="preserve">  </w:t>
      </w:r>
      <w:r w:rsidRPr="00AC1249">
        <w:rPr>
          <w:rFonts w:eastAsia="Times New Roman" w:cs="Times New Roman"/>
          <w:sz w:val="20"/>
          <w:szCs w:val="20"/>
        </w:rPr>
        <w:t>WHO Global tuberculosis report 2016.</w:t>
      </w:r>
      <w:hyperlink r:id="rId6">
        <w:r w:rsidRPr="00AC1249">
          <w:rPr>
            <w:rFonts w:eastAsia="Times New Roman" w:cs="Times New Roman"/>
            <w:color w:val="1155CC"/>
            <w:sz w:val="20"/>
            <w:szCs w:val="20"/>
            <w:u w:val="single"/>
          </w:rPr>
          <w:t>http://apps.who.int/iris/bitstream/10665/250441/1/9789241565394-eng.pdf?ua=1</w:t>
        </w:r>
      </w:hyperlink>
      <w:r w:rsidRPr="00AC1249">
        <w:rPr>
          <w:rFonts w:eastAsia="Times New Roman" w:cs="Times New Roman"/>
          <w:sz w:val="20"/>
          <w:szCs w:val="20"/>
        </w:rPr>
        <w:t xml:space="preserve"> (Accessed 4 October 2015)</w:t>
      </w:r>
    </w:p>
  </w:endnote>
  <w:endnote w:id="14">
    <w:p w14:paraId="708E75F4" w14:textId="3853FAEE" w:rsidR="001C42E3" w:rsidRPr="001C42E3" w:rsidRDefault="001C42E3" w:rsidP="00B775A3">
      <w:pPr>
        <w:rPr>
          <w:rFonts w:cs="Times New Roman"/>
          <w:sz w:val="20"/>
          <w:szCs w:val="20"/>
        </w:rPr>
      </w:pPr>
      <w:r w:rsidRPr="001C42E3">
        <w:rPr>
          <w:rFonts w:cs="Times New Roman"/>
          <w:vertAlign w:val="superscript"/>
        </w:rPr>
        <w:endnoteRef/>
      </w:r>
      <w:r w:rsidRPr="001C42E3">
        <w:rPr>
          <w:rFonts w:cs="Times New Roman"/>
          <w:sz w:val="20"/>
          <w:szCs w:val="20"/>
        </w:rPr>
        <w:t xml:space="preserve"> Epidemiological TB situation in Russia in 2015 </w:t>
      </w:r>
    </w:p>
  </w:endnote>
  <w:endnote w:id="15">
    <w:p w14:paraId="08E508B5" w14:textId="77777777" w:rsidR="007601B2" w:rsidRPr="001C42E3" w:rsidRDefault="007601B2" w:rsidP="007601B2">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Statement by Vinay Patrick Saldanha, Director, Regional Support Team for Eastern Europe and Central Asia of the Joint United Nations Programme on HIV/AIDS (UNAIDS) for CNN. See Watson I., et al. On the front lines of Russia's 'staggering' HIV epidemic. CNN. June 8, 2017. </w:t>
      </w:r>
      <w:hyperlink r:id="rId7" w:history="1">
        <w:r w:rsidRPr="001C42E3">
          <w:rPr>
            <w:rStyle w:val="a4"/>
            <w:rFonts w:ascii="Times New Roman" w:hAnsi="Times New Roman" w:cs="Times New Roman"/>
          </w:rPr>
          <w:t>http://www.cnn.com/2017/06/06/health/russia-hiv-epidemic/index.html</w:t>
        </w:r>
      </w:hyperlink>
      <w:r w:rsidRPr="001C42E3">
        <w:rPr>
          <w:rFonts w:ascii="Times New Roman" w:hAnsi="Times New Roman" w:cs="Times New Roman"/>
        </w:rPr>
        <w:t xml:space="preserve"> (Accessed October 4, 2017)</w:t>
      </w:r>
    </w:p>
  </w:endnote>
  <w:endnote w:id="16">
    <w:p w14:paraId="7628B14E" w14:textId="77777777" w:rsidR="00D644CF" w:rsidRPr="001C42E3" w:rsidRDefault="00D644CF" w:rsidP="00D644CF">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Sarang, Anya et al. "Prisons </w:t>
      </w:r>
      <w:proofErr w:type="gramStart"/>
      <w:r w:rsidRPr="001C42E3">
        <w:rPr>
          <w:rFonts w:ascii="Times New Roman" w:hAnsi="Times New Roman" w:cs="Times New Roman"/>
        </w:rPr>
        <w:t>As</w:t>
      </w:r>
      <w:proofErr w:type="gramEnd"/>
      <w:r w:rsidRPr="001C42E3">
        <w:rPr>
          <w:rFonts w:ascii="Times New Roman" w:hAnsi="Times New Roman" w:cs="Times New Roman"/>
        </w:rPr>
        <w:t xml:space="preserve"> A Source Of Tuberculosis In Russia". International Journal of Prisoner Health 12.1 (2016): 45-56. Web. </w:t>
      </w:r>
      <w:hyperlink r:id="rId8" w:history="1">
        <w:r w:rsidRPr="001C42E3">
          <w:rPr>
            <w:rStyle w:val="a4"/>
            <w:rFonts w:ascii="Times New Roman" w:hAnsi="Times New Roman" w:cs="Times New Roman"/>
          </w:rPr>
          <w:t>http://www.ncbi.nlm.nih.gov/pubmed/26933992</w:t>
        </w:r>
      </w:hyperlink>
      <w:r w:rsidRPr="001C42E3">
        <w:rPr>
          <w:rFonts w:ascii="Times New Roman" w:hAnsi="Times New Roman" w:cs="Times New Roman"/>
        </w:rPr>
        <w:t xml:space="preserve"> </w:t>
      </w:r>
    </w:p>
  </w:endnote>
  <w:endnote w:id="17">
    <w:p w14:paraId="1226F5F9" w14:textId="77777777" w:rsidR="00D644CF" w:rsidRPr="0043480A" w:rsidRDefault="00D644CF" w:rsidP="00D644CF">
      <w:pPr>
        <w:pStyle w:val="ae"/>
        <w:rPr>
          <w:lang w:val="en-US"/>
        </w:rPr>
      </w:pPr>
      <w:r>
        <w:rPr>
          <w:rStyle w:val="af0"/>
        </w:rPr>
        <w:endnoteRef/>
      </w:r>
      <w:r>
        <w:t xml:space="preserve"> </w:t>
      </w:r>
      <w:r w:rsidRPr="001C42E3">
        <w:rPr>
          <w:rFonts w:ascii="Times New Roman" w:hAnsi="Times New Roman" w:cs="Times New Roman"/>
        </w:rPr>
        <w:t>Golichenko M and Sarang A. Atmospheric Pressure: Russian drug policy as a driver for violations of the UN Convention against Torture and the International Covenant on Economic, Social and Cultural Rights. Journal Health and Human Rights special issue on Framework Convention on Health and Human Rights. June 2013</w:t>
      </w:r>
    </w:p>
  </w:endnote>
  <w:endnote w:id="18">
    <w:p w14:paraId="1CD24947" w14:textId="77777777" w:rsidR="000B2D5A" w:rsidRPr="000B2D5A" w:rsidRDefault="000B2D5A" w:rsidP="000B2D5A">
      <w:pPr>
        <w:pStyle w:val="ae"/>
        <w:rPr>
          <w:rFonts w:ascii="Times New Roman" w:hAnsi="Times New Roman" w:cs="Times New Roman"/>
          <w:lang w:val="en-US"/>
        </w:rPr>
      </w:pPr>
      <w:r>
        <w:rPr>
          <w:rStyle w:val="af0"/>
        </w:rPr>
        <w:endnoteRef/>
      </w:r>
      <w:r>
        <w:t xml:space="preserve"> </w:t>
      </w:r>
      <w:r w:rsidRPr="000B2D5A">
        <w:rPr>
          <w:rFonts w:ascii="Times New Roman" w:hAnsi="Times New Roman" w:cs="Times New Roman"/>
          <w:lang w:val="en-US"/>
        </w:rPr>
        <w:t>Human Rights Council. Twenty-Fourth Session. Report of the Working Group on the Universal</w:t>
      </w:r>
    </w:p>
    <w:p w14:paraId="2C59BEC9" w14:textId="4A51D90C" w:rsidR="000B2D5A" w:rsidRPr="000B2D5A" w:rsidRDefault="000B2D5A" w:rsidP="000B2D5A">
      <w:pPr>
        <w:pStyle w:val="ae"/>
        <w:rPr>
          <w:rFonts w:ascii="Times New Roman" w:hAnsi="Times New Roman" w:cs="Times New Roman"/>
          <w:lang w:val="en-US"/>
        </w:rPr>
      </w:pPr>
      <w:r w:rsidRPr="000B2D5A">
        <w:rPr>
          <w:rFonts w:ascii="Times New Roman" w:hAnsi="Times New Roman" w:cs="Times New Roman"/>
          <w:lang w:val="en-US"/>
        </w:rPr>
        <w:t>Periodic Review. Russian Federation. A/HRC/24/14. July 2013</w:t>
      </w:r>
    </w:p>
  </w:endnote>
  <w:endnote w:id="19">
    <w:p w14:paraId="5BA04FE8" w14:textId="07116AEB" w:rsidR="000B2D5A" w:rsidRPr="000B2D5A" w:rsidRDefault="000B2D5A">
      <w:pPr>
        <w:pStyle w:val="ae"/>
        <w:rPr>
          <w:rFonts w:ascii="Times New Roman" w:hAnsi="Times New Roman" w:cs="Times New Roman"/>
          <w:lang w:val="en-US"/>
        </w:rPr>
      </w:pPr>
      <w:r>
        <w:rPr>
          <w:rStyle w:val="af0"/>
        </w:rPr>
        <w:endnoteRef/>
      </w:r>
      <w:r>
        <w:t xml:space="preserve"> </w:t>
      </w:r>
      <w:r>
        <w:rPr>
          <w:rFonts w:ascii="Times New Roman" w:hAnsi="Times New Roman" w:cs="Times New Roman"/>
          <w:lang w:val="en-US"/>
        </w:rPr>
        <w:t>Ibid.</w:t>
      </w:r>
    </w:p>
  </w:endnote>
  <w:endnote w:id="20">
    <w:p w14:paraId="0BBA27B6" w14:textId="1214C991" w:rsidR="005211FE" w:rsidRPr="005211FE" w:rsidRDefault="005211FE">
      <w:pPr>
        <w:pStyle w:val="ae"/>
      </w:pPr>
      <w:r>
        <w:rPr>
          <w:rStyle w:val="af0"/>
        </w:rPr>
        <w:endnoteRef/>
      </w:r>
      <w:r>
        <w:t xml:space="preserve"> </w:t>
      </w:r>
      <w:r w:rsidRPr="005211FE">
        <w:rPr>
          <w:rFonts w:ascii="Times New Roman" w:hAnsi="Times New Roman" w:cs="Times New Roman"/>
        </w:rPr>
        <w:t>Ibid</w:t>
      </w:r>
    </w:p>
  </w:endnote>
  <w:endnote w:id="21">
    <w:p w14:paraId="3CC28497" w14:textId="3672813A" w:rsidR="008A1BFA" w:rsidRPr="008A1BFA" w:rsidRDefault="008A1BFA">
      <w:pPr>
        <w:pStyle w:val="ae"/>
      </w:pPr>
      <w:r>
        <w:rPr>
          <w:rStyle w:val="af0"/>
        </w:rPr>
        <w:endnoteRef/>
      </w:r>
      <w:r>
        <w:t xml:space="preserve"> </w:t>
      </w:r>
      <w:r w:rsidRPr="008A1BFA">
        <w:rPr>
          <w:rFonts w:ascii="Times New Roman" w:hAnsi="Times New Roman" w:cs="Times New Roman"/>
        </w:rPr>
        <w:t>Ibid</w:t>
      </w:r>
    </w:p>
  </w:endnote>
  <w:endnote w:id="22">
    <w:p w14:paraId="5C6F67CF" w14:textId="77777777" w:rsidR="001C42E3" w:rsidRPr="001C42E3" w:rsidRDefault="001C42E3" w:rsidP="002C2B05">
      <w:pPr>
        <w:pStyle w:val="ae"/>
        <w:rPr>
          <w:rFonts w:ascii="Times New Roman" w:hAnsi="Times New Roman" w:cs="Times New Roman"/>
          <w:lang w:val="en-US"/>
        </w:rPr>
      </w:pPr>
      <w:r w:rsidRPr="001C42E3">
        <w:rPr>
          <w:rStyle w:val="af0"/>
          <w:rFonts w:ascii="Times New Roman" w:hAnsi="Times New Roman" w:cs="Times New Roman"/>
        </w:rPr>
        <w:endnoteRef/>
      </w:r>
      <w:r w:rsidRPr="001C42E3">
        <w:rPr>
          <w:rFonts w:ascii="Times New Roman" w:hAnsi="Times New Roman" w:cs="Times New Roman"/>
        </w:rPr>
        <w:t xml:space="preserve"> Adopted by the Decree of the President of the Russian Federation No. 690 of June 9, 2010. Para 23, 48.</w:t>
      </w:r>
    </w:p>
  </w:endnote>
  <w:endnote w:id="23">
    <w:p w14:paraId="3ED834B2" w14:textId="77777777" w:rsidR="001C42E3" w:rsidRPr="001C42E3" w:rsidRDefault="001C42E3" w:rsidP="002C2B05">
      <w:pPr>
        <w:pStyle w:val="ae"/>
        <w:rPr>
          <w:rFonts w:ascii="Times New Roman" w:hAnsi="Times New Roman" w:cs="Times New Roman"/>
          <w:lang w:val="en-US"/>
        </w:rPr>
      </w:pPr>
      <w:r w:rsidRPr="001C42E3">
        <w:rPr>
          <w:rStyle w:val="af0"/>
          <w:rFonts w:ascii="Times New Roman" w:hAnsi="Times New Roman" w:cs="Times New Roman"/>
        </w:rPr>
        <w:endnoteRef/>
      </w:r>
      <w:r w:rsidRPr="001C42E3">
        <w:rPr>
          <w:rFonts w:ascii="Times New Roman" w:hAnsi="Times New Roman" w:cs="Times New Roman"/>
        </w:rPr>
        <w:t xml:space="preserve"> Golichenko M and Sarang A. Atmospheric Pressure: Russian drug policy as a driver for violations of the UN Convention against Torture and the International Covenant on Economic, Social and Cultural Rights. Journal Health and Human Rights special issue on Framework Convention on Health and Human Rights. June 2013. </w:t>
      </w:r>
    </w:p>
  </w:endnote>
  <w:endnote w:id="24">
    <w:p w14:paraId="076A632A" w14:textId="77777777" w:rsidR="001C42E3" w:rsidRPr="001C42E3" w:rsidRDefault="001C42E3" w:rsidP="002C2B05">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Human Rights Watch. Rehabilitation Required. Russia’s Human Rights Obligation to Provide Evidence-based Drug Dependence Treatment. November 7, 2007; Human Rights Watch. Lessons Not Learned: Human Rights Abuses and HIV/AIDS in the Russian Federation. April 2004.</w:t>
      </w:r>
    </w:p>
  </w:endnote>
  <w:endnote w:id="25">
    <w:p w14:paraId="176AF536" w14:textId="77777777" w:rsidR="001C42E3" w:rsidRPr="001C42E3" w:rsidRDefault="001C42E3" w:rsidP="002C2B05">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Open Society Institute. The Effect of Drug User Registration Laws on People’s Rights and</w:t>
      </w:r>
    </w:p>
    <w:p w14:paraId="7D4DDFDF" w14:textId="77777777" w:rsidR="001C42E3" w:rsidRPr="001C42E3" w:rsidRDefault="001C42E3" w:rsidP="002C2B05">
      <w:pPr>
        <w:pStyle w:val="ae"/>
        <w:rPr>
          <w:rFonts w:ascii="Times New Roman" w:hAnsi="Times New Roman" w:cs="Times New Roman"/>
        </w:rPr>
      </w:pPr>
      <w:r w:rsidRPr="001C42E3">
        <w:rPr>
          <w:rFonts w:ascii="Times New Roman" w:hAnsi="Times New Roman" w:cs="Times New Roman"/>
        </w:rPr>
        <w:t xml:space="preserve">Health: Key Findings from Russia, Georgia, and Ukraine. New York, 2009; </w:t>
      </w:r>
      <w:r w:rsidRPr="001C42E3">
        <w:rPr>
          <w:rFonts w:ascii="Times New Roman" w:hAnsi="Times New Roman" w:cs="Times New Roman"/>
          <w:lang w:val="en-US"/>
        </w:rPr>
        <w:t>Levinson</w:t>
      </w:r>
      <w:r w:rsidRPr="001C42E3">
        <w:rPr>
          <w:rFonts w:ascii="Times New Roman" w:hAnsi="Times New Roman" w:cs="Times New Roman"/>
        </w:rPr>
        <w:t xml:space="preserve"> </w:t>
      </w:r>
      <w:r w:rsidRPr="001C42E3">
        <w:rPr>
          <w:rFonts w:ascii="Times New Roman" w:hAnsi="Times New Roman" w:cs="Times New Roman"/>
          <w:lang w:val="en-US"/>
        </w:rPr>
        <w:t>L</w:t>
      </w:r>
      <w:r w:rsidRPr="001C42E3">
        <w:rPr>
          <w:rFonts w:ascii="Times New Roman" w:hAnsi="Times New Roman" w:cs="Times New Roman"/>
        </w:rPr>
        <w:t xml:space="preserve"> and </w:t>
      </w:r>
      <w:r w:rsidRPr="001C42E3">
        <w:rPr>
          <w:rFonts w:ascii="Times New Roman" w:hAnsi="Times New Roman" w:cs="Times New Roman"/>
          <w:lang w:val="en-US"/>
        </w:rPr>
        <w:t>Torban</w:t>
      </w:r>
      <w:r w:rsidRPr="001C42E3">
        <w:rPr>
          <w:rFonts w:ascii="Times New Roman" w:hAnsi="Times New Roman" w:cs="Times New Roman"/>
        </w:rPr>
        <w:t xml:space="preserve"> </w:t>
      </w:r>
      <w:r w:rsidRPr="001C42E3">
        <w:rPr>
          <w:rFonts w:ascii="Times New Roman" w:hAnsi="Times New Roman" w:cs="Times New Roman"/>
          <w:lang w:val="en-US"/>
        </w:rPr>
        <w:t>M</w:t>
      </w:r>
      <w:r w:rsidRPr="001C42E3">
        <w:rPr>
          <w:rFonts w:ascii="Times New Roman" w:hAnsi="Times New Roman" w:cs="Times New Roman"/>
        </w:rPr>
        <w:t xml:space="preserve">. </w:t>
      </w:r>
      <w:r w:rsidRPr="001C42E3">
        <w:rPr>
          <w:rFonts w:ascii="Times New Roman" w:hAnsi="Times New Roman" w:cs="Times New Roman"/>
          <w:lang w:val="en-US"/>
        </w:rPr>
        <w:t xml:space="preserve">Drug User Registration: To Follow the Law or </w:t>
      </w:r>
      <w:proofErr w:type="gramStart"/>
      <w:r w:rsidRPr="001C42E3">
        <w:rPr>
          <w:rFonts w:ascii="Times New Roman" w:hAnsi="Times New Roman" w:cs="Times New Roman"/>
          <w:lang w:val="en-US"/>
        </w:rPr>
        <w:t>To</w:t>
      </w:r>
      <w:proofErr w:type="gramEnd"/>
      <w:r w:rsidRPr="001C42E3">
        <w:rPr>
          <w:rFonts w:ascii="Times New Roman" w:hAnsi="Times New Roman" w:cs="Times New Roman"/>
          <w:lang w:val="en-US"/>
        </w:rPr>
        <w:t xml:space="preserve"> Follow Instructions? Problems of Drug User Registration in Today’s Russia. 2009.    </w:t>
      </w:r>
    </w:p>
  </w:endnote>
  <w:endnote w:id="26">
    <w:p w14:paraId="739B0B15" w14:textId="77777777" w:rsidR="001C42E3" w:rsidRPr="001C42E3" w:rsidRDefault="001C42E3" w:rsidP="00AE639E">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Lunze, Karsten et al. "Mandatory Addiction Treatment </w:t>
      </w:r>
      <w:proofErr w:type="gramStart"/>
      <w:r w:rsidRPr="001C42E3">
        <w:rPr>
          <w:rFonts w:ascii="Times New Roman" w:hAnsi="Times New Roman" w:cs="Times New Roman"/>
        </w:rPr>
        <w:t>For</w:t>
      </w:r>
      <w:proofErr w:type="gramEnd"/>
      <w:r w:rsidRPr="001C42E3">
        <w:rPr>
          <w:rFonts w:ascii="Times New Roman" w:hAnsi="Times New Roman" w:cs="Times New Roman"/>
        </w:rPr>
        <w:t xml:space="preserve"> People Who Use Drugs: Global Health And Human Rights Analysis: Table". BMJ (2016): i2943. Web. </w:t>
      </w:r>
      <w:hyperlink r:id="rId9" w:history="1">
        <w:r w:rsidRPr="001C42E3">
          <w:rPr>
            <w:rStyle w:val="a4"/>
            <w:rFonts w:ascii="Times New Roman" w:hAnsi="Times New Roman" w:cs="Times New Roman"/>
          </w:rPr>
          <w:t>http://www.bmj.com/content/353/bmj.i2943</w:t>
        </w:r>
      </w:hyperlink>
    </w:p>
  </w:endnote>
  <w:endnote w:id="27">
    <w:p w14:paraId="3C17F0A7" w14:textId="44DFC6B7" w:rsidR="001C42E3" w:rsidRPr="001C42E3" w:rsidRDefault="001C42E3">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Statistics of Penitentiary Service of the Russian Federation as of the end of 2016. www.fsin.su</w:t>
      </w:r>
    </w:p>
  </w:endnote>
  <w:endnote w:id="28">
    <w:p w14:paraId="7C013404" w14:textId="77777777" w:rsidR="001C42E3" w:rsidRPr="001C42E3" w:rsidRDefault="001C42E3" w:rsidP="00B60423">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Sarang, Anya et al. "Prisons </w:t>
      </w:r>
      <w:proofErr w:type="gramStart"/>
      <w:r w:rsidRPr="001C42E3">
        <w:rPr>
          <w:rFonts w:ascii="Times New Roman" w:hAnsi="Times New Roman" w:cs="Times New Roman"/>
        </w:rPr>
        <w:t>As</w:t>
      </w:r>
      <w:proofErr w:type="gramEnd"/>
      <w:r w:rsidRPr="001C42E3">
        <w:rPr>
          <w:rFonts w:ascii="Times New Roman" w:hAnsi="Times New Roman" w:cs="Times New Roman"/>
        </w:rPr>
        <w:t xml:space="preserve"> A Source Of Tuberculosis In Russia". International Journal of Prisoner Health 12.1 (2016): 45-56. Web. </w:t>
      </w:r>
      <w:hyperlink r:id="rId10" w:history="1">
        <w:r w:rsidRPr="001C42E3">
          <w:rPr>
            <w:rStyle w:val="a4"/>
            <w:rFonts w:ascii="Times New Roman" w:hAnsi="Times New Roman" w:cs="Times New Roman"/>
          </w:rPr>
          <w:t>http://www.ncbi.nlm.nih.gov/pubmed/26933992</w:t>
        </w:r>
      </w:hyperlink>
      <w:r w:rsidRPr="001C42E3">
        <w:rPr>
          <w:rFonts w:ascii="Times New Roman" w:hAnsi="Times New Roman" w:cs="Times New Roman"/>
        </w:rPr>
        <w:t xml:space="preserve"> </w:t>
      </w:r>
    </w:p>
  </w:endnote>
  <w:endnote w:id="29">
    <w:p w14:paraId="55357EEE" w14:textId="77777777" w:rsidR="001C42E3" w:rsidRPr="001C42E3" w:rsidRDefault="001C42E3" w:rsidP="00B60423">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The New Profile of Drug-Resistant Tuberculosis in Russia. A Global and Local Perspective</w:t>
      </w:r>
    </w:p>
    <w:p w14:paraId="00534582" w14:textId="77777777" w:rsidR="001C42E3" w:rsidRPr="001C42E3" w:rsidRDefault="001C42E3" w:rsidP="00B60423">
      <w:pPr>
        <w:pStyle w:val="ae"/>
        <w:rPr>
          <w:rFonts w:ascii="Times New Roman" w:hAnsi="Times New Roman" w:cs="Times New Roman"/>
        </w:rPr>
      </w:pPr>
      <w:r w:rsidRPr="001C42E3">
        <w:rPr>
          <w:rFonts w:ascii="Times New Roman" w:hAnsi="Times New Roman" w:cs="Times New Roman"/>
        </w:rPr>
        <w:t xml:space="preserve">Summary of a Joint Workshop. Institute of Medicine (US) Forum on Drug Discovery, Development, and Translation; Russian Academy of Medical Science. Washington (DC): National Academies Press (US); 2011. Figure 7-1. Online: </w:t>
      </w:r>
      <w:hyperlink r:id="rId11" w:history="1">
        <w:r w:rsidRPr="001C42E3">
          <w:rPr>
            <w:rStyle w:val="a4"/>
            <w:rFonts w:ascii="Times New Roman" w:hAnsi="Times New Roman" w:cs="Times New Roman"/>
          </w:rPr>
          <w:t>https://www.ncbi.nlm.nih.gov/books/NBK62461/</w:t>
        </w:r>
      </w:hyperlink>
      <w:r w:rsidRPr="001C42E3">
        <w:rPr>
          <w:rFonts w:ascii="Times New Roman" w:hAnsi="Times New Roman" w:cs="Times New Roman"/>
        </w:rPr>
        <w:t xml:space="preserve"> </w:t>
      </w:r>
    </w:p>
  </w:endnote>
  <w:endnote w:id="30">
    <w:p w14:paraId="5C420DFD" w14:textId="77777777" w:rsidR="001C42E3" w:rsidRPr="001C42E3" w:rsidRDefault="001C42E3" w:rsidP="000525B4">
      <w:pPr>
        <w:rPr>
          <w:rFonts w:cs="Times New Roman"/>
          <w:sz w:val="20"/>
          <w:szCs w:val="20"/>
        </w:rPr>
      </w:pPr>
      <w:r w:rsidRPr="001C42E3">
        <w:rPr>
          <w:rFonts w:cs="Times New Roman"/>
          <w:sz w:val="20"/>
          <w:szCs w:val="20"/>
        </w:rPr>
        <w:t>*Inforamtion about this organization is in Annex II</w:t>
      </w:r>
    </w:p>
    <w:p w14:paraId="6D1F9326" w14:textId="77777777" w:rsidR="001C42E3" w:rsidRPr="001C42E3" w:rsidRDefault="001C42E3" w:rsidP="000525B4">
      <w:pPr>
        <w:rPr>
          <w:rFonts w:eastAsia="Times New Roman" w:cs="Times New Roman"/>
          <w:sz w:val="20"/>
          <w:szCs w:val="20"/>
        </w:rPr>
      </w:pPr>
      <w:r w:rsidRPr="001C42E3">
        <w:rPr>
          <w:rStyle w:val="af0"/>
          <w:rFonts w:cs="Times New Roman"/>
          <w:sz w:val="20"/>
          <w:szCs w:val="20"/>
        </w:rPr>
        <w:endnoteRef/>
      </w:r>
      <w:r w:rsidRPr="001C42E3">
        <w:rPr>
          <w:rFonts w:cs="Times New Roman"/>
          <w:sz w:val="20"/>
          <w:szCs w:val="20"/>
        </w:rPr>
        <w:t xml:space="preserve"> </w:t>
      </w:r>
      <w:r w:rsidRPr="001C42E3">
        <w:rPr>
          <w:rFonts w:eastAsia="Times New Roman" w:cs="Times New Roman"/>
          <w:sz w:val="20"/>
          <w:szCs w:val="20"/>
        </w:rPr>
        <w:t>Consideration of reports submitted by States parties under Articles 16 and 17 of the Covenant Concluding Observations of the Committee on Economic, Social and Cultural Rights. E/C.12/RUS/CO/5</w:t>
      </w:r>
    </w:p>
  </w:endnote>
  <w:endnote w:id="31">
    <w:p w14:paraId="21CC5DB2" w14:textId="6889D18A" w:rsidR="001C42E3" w:rsidRPr="001C42E3" w:rsidRDefault="001C42E3">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Concluding observations on the seventh periodic report of the Russian Federation. CCPR/C/RUS/CO/7. 28 April 2015</w:t>
      </w:r>
    </w:p>
  </w:endnote>
  <w:endnote w:id="32">
    <w:p w14:paraId="76FDC8AB" w14:textId="60FCC3A7" w:rsidR="001C42E3" w:rsidRPr="001C42E3" w:rsidRDefault="001C42E3">
      <w:pPr>
        <w:pStyle w:val="ae"/>
        <w:rPr>
          <w:rFonts w:ascii="Times New Roman" w:hAnsi="Times New Roman" w:cs="Times New Roman"/>
        </w:rPr>
      </w:pPr>
      <w:r w:rsidRPr="001C42E3">
        <w:rPr>
          <w:rStyle w:val="af0"/>
          <w:rFonts w:ascii="Times New Roman" w:hAnsi="Times New Roman" w:cs="Times New Roman"/>
        </w:rPr>
        <w:endnoteRef/>
      </w:r>
      <w:r w:rsidRPr="001C42E3">
        <w:rPr>
          <w:rFonts w:ascii="Times New Roman" w:hAnsi="Times New Roman" w:cs="Times New Roman"/>
        </w:rPr>
        <w:t xml:space="preserve"> Concluding observations on the eighth periodic report of the Russian Federation. CEDAW/C/RUS/CO/8. November 2015. </w:t>
      </w:r>
    </w:p>
  </w:endnote>
  <w:endnote w:id="33">
    <w:p w14:paraId="0BE43663" w14:textId="77777777" w:rsidR="00945780" w:rsidRPr="00945780" w:rsidRDefault="00945780" w:rsidP="00386375">
      <w:pPr>
        <w:pStyle w:val="ae"/>
        <w:jc w:val="both"/>
        <w:rPr>
          <w:rFonts w:ascii="Times New Roman" w:hAnsi="Times New Roman" w:cs="Times New Roman"/>
          <w:lang w:val="en-US"/>
        </w:rPr>
      </w:pPr>
      <w:r w:rsidRPr="00945780">
        <w:rPr>
          <w:rStyle w:val="af0"/>
          <w:rFonts w:ascii="Times New Roman" w:hAnsi="Times New Roman" w:cs="Times New Roman"/>
        </w:rPr>
        <w:endnoteRef/>
      </w:r>
      <w:r w:rsidRPr="00945780">
        <w:rPr>
          <w:rFonts w:ascii="Times New Roman" w:eastAsia="Calibri" w:hAnsi="Times New Roman" w:cs="Times New Roman"/>
          <w:lang w:val="en-US" w:bidi="en-US"/>
        </w:rPr>
        <w:t xml:space="preserve"> Section 6.11 of the Russian Federation Code of Administrative Offences</w:t>
      </w:r>
    </w:p>
  </w:endnote>
  <w:endnote w:id="34">
    <w:p w14:paraId="4D072B69" w14:textId="77777777" w:rsidR="00945780" w:rsidRPr="00945780" w:rsidRDefault="00945780" w:rsidP="00386375">
      <w:pPr>
        <w:pStyle w:val="ae"/>
        <w:jc w:val="both"/>
        <w:rPr>
          <w:rFonts w:ascii="Times New Roman" w:hAnsi="Times New Roman" w:cs="Times New Roman"/>
          <w:lang w:val="en-US"/>
        </w:rPr>
      </w:pPr>
      <w:r w:rsidRPr="00945780">
        <w:rPr>
          <w:rStyle w:val="af0"/>
          <w:rFonts w:ascii="Times New Roman" w:hAnsi="Times New Roman" w:cs="Times New Roman"/>
        </w:rPr>
        <w:endnoteRef/>
      </w:r>
      <w:r w:rsidRPr="00945780">
        <w:rPr>
          <w:rFonts w:ascii="Times New Roman" w:eastAsia="Calibri" w:hAnsi="Times New Roman" w:cs="Times New Roman"/>
          <w:lang w:val="en-US" w:bidi="en-US"/>
        </w:rPr>
        <w:t xml:space="preserve"> Section 240 and 241 of the Russian Federation Criminal Code</w:t>
      </w:r>
    </w:p>
  </w:endnote>
  <w:endnote w:id="35">
    <w:p w14:paraId="271944DF" w14:textId="77777777" w:rsidR="00945780" w:rsidRPr="00945780" w:rsidRDefault="00945780" w:rsidP="00386375">
      <w:pPr>
        <w:pStyle w:val="ae"/>
        <w:rPr>
          <w:rFonts w:ascii="Times New Roman" w:hAnsi="Times New Roman" w:cs="Times New Roman"/>
          <w:lang w:val="en-US"/>
        </w:rPr>
      </w:pPr>
      <w:r w:rsidRPr="00945780">
        <w:rPr>
          <w:rStyle w:val="af0"/>
          <w:rFonts w:ascii="Times New Roman" w:hAnsi="Times New Roman" w:cs="Times New Roman"/>
        </w:rPr>
        <w:endnoteRef/>
      </w:r>
      <w:r w:rsidRPr="00945780">
        <w:rPr>
          <w:rFonts w:ascii="Times New Roman" w:hAnsi="Times New Roman" w:cs="Times New Roman"/>
          <w:lang w:val="en-US"/>
        </w:rPr>
        <w:t xml:space="preserve"> Supreme Court Statistics, Accessed on December 26, 2016 http://www.supcourt.ru/second.php</w:t>
      </w:r>
    </w:p>
  </w:endnote>
  <w:endnote w:id="36">
    <w:p w14:paraId="2ECC9EA9" w14:textId="77777777" w:rsidR="00945780" w:rsidRPr="00945780" w:rsidRDefault="00945780" w:rsidP="0080629F">
      <w:pPr>
        <w:pStyle w:val="ae"/>
        <w:rPr>
          <w:rFonts w:ascii="Times New Roman" w:hAnsi="Times New Roman" w:cs="Times New Roman"/>
          <w:lang w:val="en-US"/>
        </w:rPr>
      </w:pPr>
      <w:r w:rsidRPr="00945780">
        <w:rPr>
          <w:rStyle w:val="af0"/>
          <w:rFonts w:ascii="Times New Roman" w:hAnsi="Times New Roman" w:cs="Times New Roman"/>
        </w:rPr>
        <w:endnoteRef/>
      </w:r>
      <w:r w:rsidRPr="00945780">
        <w:rPr>
          <w:rFonts w:ascii="Times New Roman" w:hAnsi="Times New Roman" w:cs="Times New Roman"/>
          <w:lang w:val="en-US"/>
        </w:rPr>
        <w:t xml:space="preserve"> </w:t>
      </w:r>
      <w:r w:rsidRPr="00945780">
        <w:rPr>
          <w:rFonts w:ascii="Times New Roman" w:hAnsi="Times New Roman" w:cs="Times New Roman"/>
          <w:color w:val="000000"/>
          <w:lang w:val="en-US"/>
        </w:rPr>
        <w:t>Anand Grover, Report of the Special Rapporteur on the right of everyone to the enjoyment of the highest attainable standard of physical and mental health, 2012, A/HRC/20/15.</w:t>
      </w:r>
    </w:p>
  </w:endnote>
  <w:endnote w:id="37">
    <w:p w14:paraId="0DEF2C78" w14:textId="77777777" w:rsidR="00945780" w:rsidRPr="00945780" w:rsidRDefault="00945780" w:rsidP="00D542AC">
      <w:pPr>
        <w:pStyle w:val="ae"/>
        <w:rPr>
          <w:rFonts w:ascii="Times New Roman" w:hAnsi="Times New Roman" w:cs="Times New Roman"/>
          <w:lang w:val="en-US"/>
        </w:rPr>
      </w:pPr>
      <w:r w:rsidRPr="00945780">
        <w:rPr>
          <w:rStyle w:val="af0"/>
          <w:rFonts w:ascii="Times New Roman" w:hAnsi="Times New Roman" w:cs="Times New Roman"/>
        </w:rPr>
        <w:endnoteRef/>
      </w:r>
      <w:r w:rsidRPr="00945780">
        <w:rPr>
          <w:rFonts w:ascii="Times New Roman" w:hAnsi="Times New Roman" w:cs="Times New Roman"/>
          <w:lang w:val="en-US"/>
        </w:rPr>
        <w:t xml:space="preserve"> </w:t>
      </w:r>
      <w:r w:rsidRPr="00945780">
        <w:rPr>
          <w:rFonts w:ascii="Times New Roman" w:hAnsi="Times New Roman" w:cs="Times New Roman"/>
          <w:color w:val="000000"/>
          <w:lang w:val="en-US"/>
        </w:rPr>
        <w:t>T. Sanders, Article "Against The Grain: 'Sex Workers Must Be Protected', Mar. 8, 2007.</w:t>
      </w:r>
    </w:p>
  </w:endnote>
  <w:endnote w:id="38">
    <w:p w14:paraId="0FCDC05F" w14:textId="77777777" w:rsidR="00945780" w:rsidRPr="00945780" w:rsidRDefault="00945780" w:rsidP="00D542AC">
      <w:pPr>
        <w:pStyle w:val="ae"/>
        <w:rPr>
          <w:rFonts w:ascii="Times New Roman" w:hAnsi="Times New Roman" w:cs="Times New Roman"/>
          <w:lang w:val="en-US"/>
        </w:rPr>
      </w:pPr>
      <w:r w:rsidRPr="00945780">
        <w:rPr>
          <w:rStyle w:val="af0"/>
          <w:rFonts w:ascii="Times New Roman" w:hAnsi="Times New Roman" w:cs="Times New Roman"/>
        </w:rPr>
        <w:endnoteRef/>
      </w:r>
      <w:r w:rsidRPr="00945780">
        <w:rPr>
          <w:rFonts w:ascii="Times New Roman" w:hAnsi="Times New Roman" w:cs="Times New Roman"/>
          <w:lang w:val="en-US"/>
        </w:rPr>
        <w:t xml:space="preserve"> </w:t>
      </w:r>
      <w:r w:rsidRPr="00945780">
        <w:rPr>
          <w:rFonts w:ascii="Times New Roman" w:eastAsia="Times New Roman" w:hAnsi="Times New Roman" w:cs="Times New Roman"/>
          <w:color w:val="333333"/>
          <w:shd w:val="clear" w:color="auto" w:fill="F0F9FF"/>
          <w:lang w:val="en-US" w:eastAsia="ru-RU"/>
        </w:rPr>
        <w:t>J</w:t>
      </w:r>
      <w:r w:rsidRPr="00945780">
        <w:rPr>
          <w:rFonts w:ascii="Times New Roman" w:eastAsia="Calibri" w:hAnsi="Times New Roman" w:cs="Times New Roman"/>
          <w:lang w:val="en-US" w:eastAsia="ru-RU" w:bidi="en-US"/>
        </w:rPr>
        <w:t>eanne LoCicero, JD, Deputy Legal Director of the American Civil Liberties Union (ACLU) of New Jersey, and Udi Ofer, JD, Deputy National Political Director and Director of the Campaign for Smart Justice at the American Civil Liberties Union, in their July 6, 2016 article for nj.com</w:t>
      </w:r>
    </w:p>
  </w:endnote>
  <w:endnote w:id="39">
    <w:p w14:paraId="1404526F" w14:textId="77777777" w:rsidR="00945780" w:rsidRPr="00945780" w:rsidRDefault="00945780" w:rsidP="00386375">
      <w:pPr>
        <w:pStyle w:val="ae"/>
        <w:jc w:val="both"/>
        <w:rPr>
          <w:rFonts w:ascii="Times New Roman" w:hAnsi="Times New Roman" w:cs="Times New Roman"/>
          <w:lang w:val="uk-UA"/>
        </w:rPr>
      </w:pPr>
      <w:r w:rsidRPr="00945780">
        <w:rPr>
          <w:rStyle w:val="af0"/>
          <w:rFonts w:ascii="Times New Roman" w:hAnsi="Times New Roman" w:cs="Times New Roman"/>
        </w:rPr>
        <w:endnoteRef/>
      </w:r>
      <w:r w:rsidRPr="00945780">
        <w:rPr>
          <w:rFonts w:ascii="Times New Roman" w:eastAsia="Calibri" w:hAnsi="Times New Roman" w:cs="Times New Roman"/>
          <w:lang w:val="en-US" w:bidi="en-US"/>
        </w:rPr>
        <w:t xml:space="preserve"> F. S. E. Arps and M. Golichenko, </w:t>
      </w:r>
      <w:r w:rsidRPr="00945780">
        <w:rPr>
          <w:rFonts w:ascii="Times New Roman" w:eastAsia="Calibri" w:hAnsi="Times New Roman" w:cs="Times New Roman"/>
          <w:iCs/>
          <w:lang w:val="en-US" w:bidi="en-US"/>
        </w:rPr>
        <w:t>Sex Workers, Unite! Litigating for Sex Workers’ Freedom of Association in Russia)</w:t>
      </w:r>
      <w:r w:rsidRPr="00945780">
        <w:rPr>
          <w:rFonts w:ascii="Times New Roman" w:eastAsia="Calibri" w:hAnsi="Times New Roman" w:cs="Times New Roman"/>
          <w:lang w:val="en-US" w:bidi="en-US"/>
        </w:rPr>
        <w:t>, Health and Human Rights International Journal, December 2014.</w:t>
      </w:r>
    </w:p>
  </w:endnote>
  <w:endnote w:id="40">
    <w:p w14:paraId="789DD328" w14:textId="77777777" w:rsidR="00945780" w:rsidRPr="00945780" w:rsidRDefault="00945780" w:rsidP="00D542AC">
      <w:pPr>
        <w:pStyle w:val="ab"/>
        <w:rPr>
          <w:rFonts w:cs="Times New Roman"/>
        </w:rPr>
      </w:pPr>
      <w:r w:rsidRPr="00945780">
        <w:rPr>
          <w:rStyle w:val="af0"/>
          <w:rFonts w:eastAsia="SimSun" w:cs="Times New Roman"/>
        </w:rPr>
        <w:endnoteRef/>
      </w:r>
      <w:r w:rsidRPr="00945780">
        <w:rPr>
          <w:rFonts w:cs="Times New Roman"/>
        </w:rPr>
        <w:t xml:space="preserve"> </w:t>
      </w:r>
      <w:r w:rsidRPr="00945780">
        <w:rPr>
          <w:rFonts w:eastAsia="Calibri" w:cs="Times New Roman"/>
          <w:lang w:bidi="en-US"/>
        </w:rPr>
        <w:t>CEDAW, Concluding Observations: Russian Federation, UN Doc. CEDAW/C/RUS/CO/8, 2015, paras. 25- 26</w:t>
      </w:r>
    </w:p>
  </w:endnote>
  <w:endnote w:id="41">
    <w:p w14:paraId="2EB5B8B2" w14:textId="77777777" w:rsidR="00945780" w:rsidRPr="00945780" w:rsidRDefault="00945780" w:rsidP="0080629F">
      <w:pPr>
        <w:pStyle w:val="ae"/>
        <w:rPr>
          <w:rFonts w:ascii="Times New Roman" w:hAnsi="Times New Roman" w:cs="Times New Roman"/>
          <w:lang w:val="en-US"/>
        </w:rPr>
      </w:pPr>
      <w:r w:rsidRPr="00945780">
        <w:rPr>
          <w:rStyle w:val="af0"/>
          <w:rFonts w:ascii="Times New Roman" w:hAnsi="Times New Roman" w:cs="Times New Roman"/>
        </w:rPr>
        <w:endnoteRef/>
      </w:r>
      <w:r w:rsidRPr="00945780">
        <w:rPr>
          <w:rFonts w:ascii="Times New Roman" w:hAnsi="Times New Roman" w:cs="Times New Roman"/>
          <w:lang w:val="en-US"/>
        </w:rPr>
        <w:t xml:space="preserve"> </w:t>
      </w:r>
      <w:r w:rsidRPr="00945780">
        <w:rPr>
          <w:rFonts w:ascii="Times New Roman" w:hAnsi="Times New Roman" w:cs="Times New Roman"/>
          <w:color w:val="000000"/>
          <w:lang w:val="en-US"/>
        </w:rPr>
        <w:t>Lim, The Sex Sector: the economic and social basis of prostitution in SE Asia, ILO 1998).</w:t>
      </w:r>
      <w:r w:rsidRPr="00945780">
        <w:rPr>
          <w:rFonts w:ascii="Times New Roman" w:eastAsia="MS Mincho" w:hAnsi="Times New Roman" w:cs="Times New Roman"/>
          <w:color w:val="000000"/>
          <w:lang w:val="en-US"/>
        </w:rPr>
        <w:t> </w:t>
      </w:r>
    </w:p>
  </w:endnote>
  <w:endnote w:id="42">
    <w:p w14:paraId="0C7B4D6C" w14:textId="77777777" w:rsidR="00945780" w:rsidRPr="00945780" w:rsidRDefault="00945780" w:rsidP="0080629F">
      <w:pPr>
        <w:pStyle w:val="ae"/>
        <w:rPr>
          <w:rFonts w:ascii="Times New Roman" w:hAnsi="Times New Roman" w:cs="Times New Roman"/>
          <w:lang w:val="en-US"/>
        </w:rPr>
      </w:pPr>
      <w:r w:rsidRPr="00945780">
        <w:rPr>
          <w:rStyle w:val="af0"/>
          <w:rFonts w:ascii="Times New Roman" w:hAnsi="Times New Roman" w:cs="Times New Roman"/>
        </w:rPr>
        <w:endnoteRef/>
      </w:r>
      <w:r w:rsidRPr="00945780">
        <w:rPr>
          <w:rFonts w:ascii="Times New Roman" w:hAnsi="Times New Roman" w:cs="Times New Roman"/>
          <w:lang w:val="en-US"/>
        </w:rPr>
        <w:t xml:space="preserve"> </w:t>
      </w:r>
      <w:r w:rsidRPr="00945780">
        <w:rPr>
          <w:rFonts w:ascii="Times New Roman" w:hAnsi="Times New Roman" w:cs="Times New Roman"/>
          <w:color w:val="000000"/>
          <w:lang w:val="en-US"/>
        </w:rPr>
        <w:t>Committee on the Elimination of Discrimination against Women, Concluding observations on second and third German periodic country report, 2000, para. 325.</w:t>
      </w:r>
      <w:r w:rsidRPr="00945780">
        <w:rPr>
          <w:rFonts w:ascii="Times New Roman" w:eastAsia="MS Mincho" w:hAnsi="Times New Roman" w:cs="Times New Roman"/>
          <w:color w:val="000000"/>
          <w:lang w:val="en-US"/>
        </w:rPr>
        <w:t> </w:t>
      </w:r>
    </w:p>
  </w:endnote>
  <w:endnote w:id="43">
    <w:p w14:paraId="35756CC1" w14:textId="77777777" w:rsidR="00945780" w:rsidRPr="00945780" w:rsidRDefault="00945780" w:rsidP="0080629F">
      <w:pPr>
        <w:pStyle w:val="ae"/>
        <w:rPr>
          <w:rFonts w:ascii="Times New Roman" w:hAnsi="Times New Roman" w:cs="Times New Roman"/>
          <w:lang w:val="en-US"/>
        </w:rPr>
      </w:pPr>
      <w:r w:rsidRPr="00945780">
        <w:rPr>
          <w:rStyle w:val="af0"/>
          <w:rFonts w:ascii="Times New Roman" w:hAnsi="Times New Roman" w:cs="Times New Roman"/>
        </w:rPr>
        <w:endnoteRef/>
      </w:r>
      <w:r w:rsidRPr="00945780">
        <w:rPr>
          <w:rFonts w:ascii="Times New Roman" w:hAnsi="Times New Roman" w:cs="Times New Roman"/>
          <w:lang w:val="en-US"/>
        </w:rPr>
        <w:t xml:space="preserve"> </w:t>
      </w:r>
      <w:r w:rsidRPr="00945780">
        <w:rPr>
          <w:rFonts w:ascii="Times New Roman" w:hAnsi="Times New Roman" w:cs="Times New Roman"/>
          <w:color w:val="000000"/>
          <w:lang w:val="en-US"/>
        </w:rPr>
        <w:t>Anand Grover, Report of the Special Rapporteur on the right of everyone to the enjoyment of the highest attainable standard of physical and mental health, 2012, A/HRC/20/15.</w:t>
      </w:r>
    </w:p>
  </w:endnote>
  <w:endnote w:id="44">
    <w:p w14:paraId="6A7E3FD4" w14:textId="77777777" w:rsidR="00945780" w:rsidRPr="00945780" w:rsidRDefault="00945780" w:rsidP="0080629F">
      <w:pPr>
        <w:pStyle w:val="ae"/>
        <w:rPr>
          <w:rFonts w:ascii="Times New Roman" w:hAnsi="Times New Roman" w:cs="Times New Roman"/>
          <w:lang w:val="en-US"/>
        </w:rPr>
      </w:pPr>
      <w:r w:rsidRPr="00945780">
        <w:rPr>
          <w:rStyle w:val="af0"/>
          <w:rFonts w:ascii="Times New Roman" w:hAnsi="Times New Roman" w:cs="Times New Roman"/>
        </w:rPr>
        <w:endnoteRef/>
      </w:r>
      <w:r w:rsidRPr="00945780">
        <w:rPr>
          <w:rFonts w:ascii="Times New Roman" w:hAnsi="Times New Roman" w:cs="Times New Roman"/>
          <w:lang w:val="en-US"/>
        </w:rPr>
        <w:t xml:space="preserve"> </w:t>
      </w:r>
      <w:r w:rsidRPr="00945780">
        <w:rPr>
          <w:rFonts w:ascii="Times New Roman" w:eastAsia="Times New Roman" w:hAnsi="Times New Roman" w:cs="Times New Roman"/>
          <w:color w:val="000000" w:themeColor="text1"/>
          <w:lang w:val="en-US"/>
        </w:rPr>
        <w:t>Amnesty International, Amnesty International Policy on State Obligations to Respect, Protect, and Fulfil the Human Rights of Sex Workers, May, 2016.</w:t>
      </w:r>
    </w:p>
  </w:endnote>
  <w:endnote w:id="45">
    <w:p w14:paraId="3B15B56D" w14:textId="77777777" w:rsidR="00945780" w:rsidRPr="00945780" w:rsidRDefault="00945780" w:rsidP="0080629F">
      <w:pPr>
        <w:pStyle w:val="ae"/>
        <w:rPr>
          <w:rFonts w:ascii="Times New Roman" w:hAnsi="Times New Roman" w:cs="Times New Roman"/>
          <w:lang w:val="en-US"/>
        </w:rPr>
      </w:pPr>
      <w:r w:rsidRPr="00945780">
        <w:rPr>
          <w:rStyle w:val="af0"/>
          <w:rFonts w:ascii="Times New Roman" w:hAnsi="Times New Roman" w:cs="Times New Roman"/>
        </w:rPr>
        <w:endnoteRef/>
      </w:r>
      <w:r w:rsidRPr="00945780">
        <w:rPr>
          <w:rFonts w:ascii="Times New Roman" w:hAnsi="Times New Roman" w:cs="Times New Roman"/>
          <w:lang w:val="en-US"/>
        </w:rPr>
        <w:t xml:space="preserve"> </w:t>
      </w:r>
      <w:r w:rsidRPr="00945780">
        <w:rPr>
          <w:rFonts w:ascii="Times New Roman" w:eastAsia="Calibri" w:hAnsi="Times New Roman" w:cs="Times New Roman"/>
          <w:lang w:val="en-US" w:bidi="en-US"/>
        </w:rPr>
        <w:t>Implementing comprehensive HIV/STI programmes with sex workers: Practical approaches from collaborative interventions, WHO; UNFPA; UNAIDS; NSWP; World Bank; UNDP, p. 4, October 2013.</w:t>
      </w:r>
    </w:p>
  </w:endnote>
  <w:endnote w:id="46">
    <w:p w14:paraId="3E275854" w14:textId="77777777" w:rsidR="00945780" w:rsidRPr="0009119D" w:rsidRDefault="00945780" w:rsidP="00945780">
      <w:pPr>
        <w:pStyle w:val="1"/>
        <w:shd w:val="clear" w:color="auto" w:fill="FFFFFF"/>
        <w:spacing w:before="0" w:beforeAutospacing="0" w:after="0" w:afterAutospacing="0"/>
        <w:rPr>
          <w:rFonts w:ascii="Helvetica" w:eastAsia="Times New Roman" w:hAnsi="Helvetica"/>
          <w:color w:val="646464"/>
          <w:sz w:val="36"/>
          <w:szCs w:val="36"/>
        </w:rPr>
      </w:pPr>
      <w:r w:rsidRPr="00945780">
        <w:rPr>
          <w:rStyle w:val="af0"/>
          <w:b w:val="0"/>
          <w:color w:val="000000" w:themeColor="text1"/>
          <w:sz w:val="20"/>
          <w:szCs w:val="20"/>
        </w:rPr>
        <w:endnoteRef/>
      </w:r>
      <w:r w:rsidRPr="00945780">
        <w:rPr>
          <w:b w:val="0"/>
          <w:color w:val="000000" w:themeColor="text1"/>
          <w:sz w:val="20"/>
          <w:szCs w:val="20"/>
        </w:rPr>
        <w:t xml:space="preserve"> </w:t>
      </w:r>
      <w:hyperlink r:id="rId12" w:history="1">
        <w:r w:rsidRPr="00945780">
          <w:rPr>
            <w:rFonts w:eastAsia="Calibri"/>
            <w:b w:val="0"/>
            <w:color w:val="000000" w:themeColor="text1"/>
            <w:sz w:val="20"/>
            <w:szCs w:val="20"/>
            <w:lang w:bidi="en-US"/>
          </w:rPr>
          <w:t>A. Reeves</w:t>
        </w:r>
      </w:hyperlink>
      <w:r w:rsidRPr="00945780">
        <w:rPr>
          <w:rFonts w:eastAsia="Calibri"/>
          <w:b w:val="0"/>
          <w:color w:val="000000" w:themeColor="text1"/>
          <w:sz w:val="20"/>
          <w:szCs w:val="20"/>
          <w:lang w:bidi="en-US"/>
        </w:rPr>
        <w:t xml:space="preserve">, </w:t>
      </w:r>
      <w:hyperlink r:id="rId13" w:history="1">
        <w:r w:rsidRPr="00945780">
          <w:rPr>
            <w:rFonts w:eastAsia="Calibri"/>
            <w:b w:val="0"/>
            <w:color w:val="000000" w:themeColor="text1"/>
            <w:sz w:val="20"/>
            <w:szCs w:val="20"/>
            <w:lang w:bidi="en-US"/>
          </w:rPr>
          <w:t>S. Steele</w:t>
        </w:r>
      </w:hyperlink>
      <w:r w:rsidRPr="00945780">
        <w:rPr>
          <w:rFonts w:eastAsia="Calibri"/>
          <w:b w:val="0"/>
          <w:color w:val="000000" w:themeColor="text1"/>
          <w:sz w:val="20"/>
          <w:szCs w:val="20"/>
          <w:lang w:bidi="en-US"/>
        </w:rPr>
        <w:t xml:space="preserve">, </w:t>
      </w:r>
      <w:hyperlink r:id="rId14" w:history="1">
        <w:r w:rsidRPr="00945780">
          <w:rPr>
            <w:rFonts w:eastAsia="Calibri"/>
            <w:b w:val="0"/>
            <w:color w:val="000000" w:themeColor="text1"/>
            <w:sz w:val="20"/>
            <w:szCs w:val="20"/>
            <w:lang w:bidi="en-US"/>
          </w:rPr>
          <w:t>D. Stuckler</w:t>
        </w:r>
      </w:hyperlink>
      <w:r w:rsidRPr="00945780">
        <w:rPr>
          <w:rFonts w:eastAsia="Calibri"/>
          <w:b w:val="0"/>
          <w:color w:val="000000" w:themeColor="text1"/>
          <w:sz w:val="20"/>
          <w:szCs w:val="20"/>
          <w:lang w:bidi="en-US"/>
        </w:rPr>
        <w:t xml:space="preserve">, </w:t>
      </w:r>
      <w:hyperlink r:id="rId15" w:history="1">
        <w:r w:rsidRPr="00945780">
          <w:rPr>
            <w:rFonts w:eastAsia="Calibri"/>
            <w:b w:val="0"/>
            <w:color w:val="000000" w:themeColor="text1"/>
            <w:sz w:val="20"/>
            <w:szCs w:val="20"/>
            <w:lang w:bidi="en-US"/>
          </w:rPr>
          <w:t>M. McKee</w:t>
        </w:r>
      </w:hyperlink>
      <w:r w:rsidRPr="00945780">
        <w:rPr>
          <w:rFonts w:eastAsia="Calibri"/>
          <w:b w:val="0"/>
          <w:color w:val="000000" w:themeColor="text1"/>
          <w:sz w:val="20"/>
          <w:szCs w:val="20"/>
          <w:lang w:bidi="en-US"/>
        </w:rPr>
        <w:t xml:space="preserve">, </w:t>
      </w:r>
      <w:hyperlink r:id="rId16" w:history="1">
        <w:r w:rsidRPr="00945780">
          <w:rPr>
            <w:rFonts w:eastAsia="Calibri"/>
            <w:b w:val="0"/>
            <w:color w:val="000000" w:themeColor="text1"/>
            <w:sz w:val="20"/>
            <w:szCs w:val="20"/>
            <w:lang w:bidi="en-US"/>
          </w:rPr>
          <w:t>A. Amato-Gauci</w:t>
        </w:r>
      </w:hyperlink>
      <w:r w:rsidRPr="00945780">
        <w:rPr>
          <w:rFonts w:eastAsia="Calibri"/>
          <w:b w:val="0"/>
          <w:color w:val="000000" w:themeColor="text1"/>
          <w:sz w:val="20"/>
          <w:szCs w:val="20"/>
          <w:lang w:bidi="en-US"/>
        </w:rPr>
        <w:t xml:space="preserve">, </w:t>
      </w:r>
      <w:hyperlink r:id="rId17" w:history="1">
        <w:r w:rsidRPr="00945780">
          <w:rPr>
            <w:rFonts w:eastAsia="Calibri"/>
            <w:b w:val="0"/>
            <w:color w:val="000000" w:themeColor="text1"/>
            <w:sz w:val="20"/>
            <w:szCs w:val="20"/>
            <w:lang w:bidi="en-US"/>
          </w:rPr>
          <w:t>J. C Semenza</w:t>
        </w:r>
      </w:hyperlink>
      <w:r w:rsidRPr="00945780">
        <w:rPr>
          <w:rFonts w:eastAsia="Calibri"/>
          <w:b w:val="0"/>
          <w:color w:val="000000" w:themeColor="text1"/>
          <w:sz w:val="20"/>
          <w:szCs w:val="20"/>
          <w:lang w:bidi="en-US"/>
        </w:rPr>
        <w:t xml:space="preserve">, National sex work policy and HIV </w:t>
      </w:r>
      <w:r w:rsidRPr="00945780">
        <w:rPr>
          <w:rFonts w:eastAsia="Calibri"/>
          <w:b w:val="0"/>
          <w:sz w:val="20"/>
          <w:szCs w:val="20"/>
          <w:lang w:bidi="en-US"/>
        </w:rPr>
        <w:t xml:space="preserve">prevalence among sex workers: an ecological regression analysis of 27 European countries, the </w:t>
      </w:r>
      <w:r w:rsidRPr="00945780">
        <w:rPr>
          <w:b w:val="0"/>
          <w:color w:val="000000" w:themeColor="text1"/>
          <w:sz w:val="20"/>
          <w:szCs w:val="20"/>
        </w:rPr>
        <w:t xml:space="preserve">Lancet, </w:t>
      </w:r>
      <w:hyperlink r:id="rId18" w:history="1">
        <w:r w:rsidRPr="00945780">
          <w:rPr>
            <w:b w:val="0"/>
            <w:color w:val="000000" w:themeColor="text1"/>
            <w:sz w:val="20"/>
            <w:szCs w:val="20"/>
          </w:rPr>
          <w:t>Volume 4, No. 3</w:t>
        </w:r>
      </w:hyperlink>
      <w:r w:rsidRPr="00945780">
        <w:rPr>
          <w:b w:val="0"/>
          <w:color w:val="000000" w:themeColor="text1"/>
          <w:sz w:val="20"/>
          <w:szCs w:val="20"/>
        </w:rPr>
        <w:t>, e134–e140, March 2017.</w:t>
      </w:r>
    </w:p>
  </w:endnote>
  <w:endnote w:id="47">
    <w:p w14:paraId="6C4B5B6D" w14:textId="7C5C6285" w:rsidR="001F24DE" w:rsidRPr="001F24DE" w:rsidRDefault="001F24DE">
      <w:pPr>
        <w:pStyle w:val="ae"/>
        <w:rPr>
          <w:lang w:val="en-US"/>
        </w:rPr>
      </w:pPr>
      <w:r>
        <w:rPr>
          <w:rStyle w:val="af0"/>
        </w:rPr>
        <w:endnoteRef/>
      </w:r>
      <w:r>
        <w:t xml:space="preserve"> </w:t>
      </w:r>
      <w:r w:rsidR="00945780" w:rsidRPr="00945780">
        <w:rPr>
          <w:rFonts w:ascii="Times New Roman" w:hAnsi="Times New Roman" w:cs="Times New Roman"/>
          <w:lang w:val="en-US"/>
        </w:rPr>
        <w:t>See the Report by a Coalition of LGBT organizations for the 62</w:t>
      </w:r>
      <w:r w:rsidR="00945780" w:rsidRPr="00945780">
        <w:rPr>
          <w:rFonts w:ascii="Times New Roman" w:hAnsi="Times New Roman" w:cs="Times New Roman"/>
          <w:vertAlign w:val="superscript"/>
          <w:lang w:val="en-US"/>
        </w:rPr>
        <w:t>ND</w:t>
      </w:r>
      <w:r w:rsidR="00945780" w:rsidRPr="00945780">
        <w:rPr>
          <w:rFonts w:ascii="Times New Roman" w:hAnsi="Times New Roman" w:cs="Times New Roman"/>
          <w:lang w:val="en-US"/>
        </w:rPr>
        <w:t xml:space="preserve"> CESCR Session, August 2017. </w:t>
      </w:r>
      <w:hyperlink r:id="rId19" w:history="1">
        <w:r w:rsidR="00945780" w:rsidRPr="00945780">
          <w:rPr>
            <w:rStyle w:val="a4"/>
            <w:rFonts w:ascii="Times New Roman" w:hAnsi="Times New Roman" w:cs="Times New Roman"/>
            <w:lang w:val="en-US"/>
          </w:rPr>
          <w:t>http://tbinternet.ohchr.org/Treaties/CESCR/Shared%20Documents/RUS/INT_CESCR_CSS_RUS_28824_E.pdf</w:t>
        </w:r>
      </w:hyperlink>
      <w:r w:rsidR="00945780" w:rsidRPr="00945780">
        <w:rPr>
          <w:rFonts w:ascii="Times New Roman" w:hAnsi="Times New Roman" w:cs="Times New Roman"/>
          <w:lang w:val="en-US"/>
        </w:rPr>
        <w:t xml:space="preserve"> (Accessed 4 October 2017).</w:t>
      </w:r>
    </w:p>
  </w:endnote>
  <w:endnote w:id="48">
    <w:p w14:paraId="7662520D" w14:textId="787CF5FC" w:rsidR="00FA7B90" w:rsidRPr="00FA7B90" w:rsidRDefault="00FA7B90">
      <w:pPr>
        <w:pStyle w:val="ae"/>
        <w:rPr>
          <w:lang w:val="en-US"/>
        </w:rPr>
      </w:pPr>
      <w:r>
        <w:rPr>
          <w:rStyle w:val="af0"/>
        </w:rPr>
        <w:endnoteRef/>
      </w:r>
      <w:r w:rsidRPr="00FA7B90">
        <w:rPr>
          <w:rFonts w:ascii="Times New Roman" w:hAnsi="Times New Roman" w:cs="Times New Roman"/>
        </w:rPr>
        <w:t xml:space="preserve"> </w:t>
      </w:r>
      <w:r w:rsidRPr="00FA7B90">
        <w:rPr>
          <w:rFonts w:ascii="Times New Roman" w:hAnsi="Times New Roman" w:cs="Times New Roman"/>
          <w:lang w:val="en-US"/>
        </w:rPr>
        <w:t>CEDAW Concluding Observations on Russia, November 2015</w:t>
      </w:r>
    </w:p>
  </w:endnote>
  <w:endnote w:id="49">
    <w:p w14:paraId="451A8669" w14:textId="7559AA91" w:rsidR="00F31033" w:rsidRPr="00F31033" w:rsidRDefault="00F31033">
      <w:pPr>
        <w:pStyle w:val="ae"/>
        <w:rPr>
          <w:rFonts w:ascii="Times New Roman" w:hAnsi="Times New Roman" w:cs="Times New Roman"/>
          <w:lang w:val="en-US"/>
        </w:rPr>
      </w:pPr>
      <w:r w:rsidRPr="00F31033">
        <w:rPr>
          <w:rStyle w:val="af0"/>
          <w:rFonts w:ascii="Times New Roman" w:hAnsi="Times New Roman" w:cs="Times New Roman"/>
        </w:rPr>
        <w:endnoteRef/>
      </w:r>
      <w:r w:rsidRPr="00F31033">
        <w:rPr>
          <w:rFonts w:ascii="Times New Roman" w:hAnsi="Times New Roman" w:cs="Times New Roman"/>
        </w:rPr>
        <w:t xml:space="preserve"> </w:t>
      </w:r>
      <w:r w:rsidRPr="00F31033">
        <w:rPr>
          <w:rFonts w:ascii="Times New Roman" w:hAnsi="Times New Roman" w:cs="Times New Roman"/>
          <w:lang w:val="en-US"/>
        </w:rPr>
        <w:t>HRC Concluding Observations on Russia, April 2015</w:t>
      </w:r>
    </w:p>
  </w:endnote>
  <w:endnote w:id="50">
    <w:p w14:paraId="110D4453" w14:textId="23199CEB" w:rsidR="00F31033" w:rsidRPr="00F31033" w:rsidRDefault="00F31033" w:rsidP="00F31033">
      <w:pPr>
        <w:rPr>
          <w:rFonts w:asciiTheme="minorHAnsi" w:hAnsiTheme="minorHAnsi"/>
          <w:sz w:val="20"/>
          <w:szCs w:val="20"/>
          <w:lang w:val="en-CA"/>
        </w:rPr>
      </w:pPr>
      <w:r>
        <w:rPr>
          <w:rStyle w:val="af0"/>
        </w:rPr>
        <w:endnoteRef/>
      </w:r>
      <w:r>
        <w:t xml:space="preserve"> </w:t>
      </w:r>
      <w:r w:rsidRPr="00F31033">
        <w:rPr>
          <w:rFonts w:cs="Times New Roman"/>
          <w:sz w:val="20"/>
          <w:szCs w:val="20"/>
          <w:lang w:val="en-CA"/>
        </w:rPr>
        <w:t>Concluding observations on the fifth periodic report of the Russian Federation. CAT/C/RUS/CO/5. December 2012.</w:t>
      </w:r>
    </w:p>
    <w:p w14:paraId="3760D443" w14:textId="40F84F76" w:rsidR="00F31033" w:rsidRPr="00F31033" w:rsidRDefault="00F31033">
      <w:pPr>
        <w:pStyle w:val="a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09751"/>
      <w:docPartObj>
        <w:docPartGallery w:val="Page Numbers (Bottom of Page)"/>
        <w:docPartUnique/>
      </w:docPartObj>
    </w:sdtPr>
    <w:sdtEndPr>
      <w:rPr>
        <w:noProof/>
      </w:rPr>
    </w:sdtEndPr>
    <w:sdtContent>
      <w:p w14:paraId="5BF63869" w14:textId="761D7110" w:rsidR="002F756D" w:rsidRDefault="002F756D">
        <w:pPr>
          <w:pStyle w:val="af3"/>
          <w:jc w:val="right"/>
        </w:pPr>
        <w:r>
          <w:fldChar w:fldCharType="begin"/>
        </w:r>
        <w:r>
          <w:instrText xml:space="preserve"> PAGE   \* MERGEFORMAT </w:instrText>
        </w:r>
        <w:r>
          <w:fldChar w:fldCharType="separate"/>
        </w:r>
        <w:r w:rsidR="00D2658B">
          <w:rPr>
            <w:noProof/>
          </w:rPr>
          <w:t>7</w:t>
        </w:r>
        <w:r>
          <w:rPr>
            <w:noProof/>
          </w:rPr>
          <w:fldChar w:fldCharType="end"/>
        </w:r>
      </w:p>
    </w:sdtContent>
  </w:sdt>
  <w:p w14:paraId="22EB09D4" w14:textId="77777777" w:rsidR="002F756D" w:rsidRDefault="002F756D">
    <w:pPr>
      <w:pStyle w:val="af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4CAEE" w14:textId="77777777" w:rsidR="004C3710" w:rsidRDefault="004C3710" w:rsidP="00607BB7">
      <w:r>
        <w:separator/>
      </w:r>
    </w:p>
  </w:footnote>
  <w:footnote w:type="continuationSeparator" w:id="0">
    <w:p w14:paraId="09D028D1" w14:textId="77777777" w:rsidR="004C3710" w:rsidRDefault="004C3710" w:rsidP="00607B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5B64"/>
    <w:multiLevelType w:val="hybridMultilevel"/>
    <w:tmpl w:val="C7C08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F05F44"/>
    <w:multiLevelType w:val="hybridMultilevel"/>
    <w:tmpl w:val="F4A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633D3"/>
    <w:multiLevelType w:val="hybridMultilevel"/>
    <w:tmpl w:val="BD2E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C2B4C"/>
    <w:multiLevelType w:val="hybridMultilevel"/>
    <w:tmpl w:val="94306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D4726A"/>
    <w:multiLevelType w:val="hybridMultilevel"/>
    <w:tmpl w:val="1556D7FC"/>
    <w:lvl w:ilvl="0" w:tplc="36A4B3E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B44B3"/>
    <w:multiLevelType w:val="multilevel"/>
    <w:tmpl w:val="FC3C3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9F"/>
    <w:rsid w:val="000070FE"/>
    <w:rsid w:val="00021E7E"/>
    <w:rsid w:val="00024815"/>
    <w:rsid w:val="000410A7"/>
    <w:rsid w:val="000525B4"/>
    <w:rsid w:val="00057F34"/>
    <w:rsid w:val="00063409"/>
    <w:rsid w:val="000769F3"/>
    <w:rsid w:val="00082B84"/>
    <w:rsid w:val="000B2D5A"/>
    <w:rsid w:val="000B626F"/>
    <w:rsid w:val="000E3B9E"/>
    <w:rsid w:val="001244F1"/>
    <w:rsid w:val="00136CE1"/>
    <w:rsid w:val="00155EF1"/>
    <w:rsid w:val="001625C3"/>
    <w:rsid w:val="00183546"/>
    <w:rsid w:val="00193C11"/>
    <w:rsid w:val="001B4CA7"/>
    <w:rsid w:val="001C42E3"/>
    <w:rsid w:val="001F0D84"/>
    <w:rsid w:val="001F24DE"/>
    <w:rsid w:val="001F7CA5"/>
    <w:rsid w:val="00223F38"/>
    <w:rsid w:val="00236FB8"/>
    <w:rsid w:val="00246307"/>
    <w:rsid w:val="00250784"/>
    <w:rsid w:val="00267E7C"/>
    <w:rsid w:val="00281004"/>
    <w:rsid w:val="002834C5"/>
    <w:rsid w:val="002A027A"/>
    <w:rsid w:val="002B6E3D"/>
    <w:rsid w:val="002C2B05"/>
    <w:rsid w:val="002C78BF"/>
    <w:rsid w:val="002D5B0A"/>
    <w:rsid w:val="002E1151"/>
    <w:rsid w:val="002E5C56"/>
    <w:rsid w:val="002F2A11"/>
    <w:rsid w:val="002F756D"/>
    <w:rsid w:val="00312375"/>
    <w:rsid w:val="003259FA"/>
    <w:rsid w:val="0035703B"/>
    <w:rsid w:val="00380FA1"/>
    <w:rsid w:val="00386375"/>
    <w:rsid w:val="00386772"/>
    <w:rsid w:val="00396130"/>
    <w:rsid w:val="003A12F7"/>
    <w:rsid w:val="003A322E"/>
    <w:rsid w:val="003A42E5"/>
    <w:rsid w:val="003C76E8"/>
    <w:rsid w:val="003D554B"/>
    <w:rsid w:val="003E7D66"/>
    <w:rsid w:val="00400BE2"/>
    <w:rsid w:val="0043480A"/>
    <w:rsid w:val="00434BDE"/>
    <w:rsid w:val="0044752D"/>
    <w:rsid w:val="004517EA"/>
    <w:rsid w:val="004541E0"/>
    <w:rsid w:val="00487B1B"/>
    <w:rsid w:val="00491BFB"/>
    <w:rsid w:val="004A189E"/>
    <w:rsid w:val="004B13AE"/>
    <w:rsid w:val="004B5793"/>
    <w:rsid w:val="004C3710"/>
    <w:rsid w:val="004D1252"/>
    <w:rsid w:val="004F2993"/>
    <w:rsid w:val="005067A5"/>
    <w:rsid w:val="005211FE"/>
    <w:rsid w:val="0052285F"/>
    <w:rsid w:val="00551409"/>
    <w:rsid w:val="00573EA2"/>
    <w:rsid w:val="00577A79"/>
    <w:rsid w:val="005914C3"/>
    <w:rsid w:val="005A3B5B"/>
    <w:rsid w:val="005B532E"/>
    <w:rsid w:val="005D59A8"/>
    <w:rsid w:val="0060374D"/>
    <w:rsid w:val="00607BB7"/>
    <w:rsid w:val="00634283"/>
    <w:rsid w:val="0065332B"/>
    <w:rsid w:val="0066092B"/>
    <w:rsid w:val="00667A79"/>
    <w:rsid w:val="0067066E"/>
    <w:rsid w:val="0069381A"/>
    <w:rsid w:val="006B49BE"/>
    <w:rsid w:val="006E2B3A"/>
    <w:rsid w:val="006E4490"/>
    <w:rsid w:val="006F5E3A"/>
    <w:rsid w:val="007359C4"/>
    <w:rsid w:val="007423DA"/>
    <w:rsid w:val="007601B2"/>
    <w:rsid w:val="00762BEA"/>
    <w:rsid w:val="007849A9"/>
    <w:rsid w:val="007A17C9"/>
    <w:rsid w:val="007A34F0"/>
    <w:rsid w:val="007D724B"/>
    <w:rsid w:val="007E7874"/>
    <w:rsid w:val="007F3A61"/>
    <w:rsid w:val="0080629F"/>
    <w:rsid w:val="008470B0"/>
    <w:rsid w:val="00860167"/>
    <w:rsid w:val="008670B9"/>
    <w:rsid w:val="008777A3"/>
    <w:rsid w:val="00882A2F"/>
    <w:rsid w:val="00897740"/>
    <w:rsid w:val="008A1BFA"/>
    <w:rsid w:val="008A3879"/>
    <w:rsid w:val="008D6D87"/>
    <w:rsid w:val="008D7B56"/>
    <w:rsid w:val="008E6141"/>
    <w:rsid w:val="0090294A"/>
    <w:rsid w:val="00903419"/>
    <w:rsid w:val="00910C1E"/>
    <w:rsid w:val="009208CE"/>
    <w:rsid w:val="00945780"/>
    <w:rsid w:val="009621E5"/>
    <w:rsid w:val="009665CB"/>
    <w:rsid w:val="0096700C"/>
    <w:rsid w:val="00983E10"/>
    <w:rsid w:val="00985F0C"/>
    <w:rsid w:val="009933CD"/>
    <w:rsid w:val="009951C6"/>
    <w:rsid w:val="009953B1"/>
    <w:rsid w:val="009B02BE"/>
    <w:rsid w:val="009B2E7A"/>
    <w:rsid w:val="009B694A"/>
    <w:rsid w:val="009F3E4B"/>
    <w:rsid w:val="00A32378"/>
    <w:rsid w:val="00A83FEB"/>
    <w:rsid w:val="00AB4FDD"/>
    <w:rsid w:val="00AC1249"/>
    <w:rsid w:val="00AC3E8B"/>
    <w:rsid w:val="00AE639E"/>
    <w:rsid w:val="00AF553C"/>
    <w:rsid w:val="00B00B8C"/>
    <w:rsid w:val="00B0221A"/>
    <w:rsid w:val="00B16FFD"/>
    <w:rsid w:val="00B46247"/>
    <w:rsid w:val="00B60423"/>
    <w:rsid w:val="00B62B59"/>
    <w:rsid w:val="00B775A3"/>
    <w:rsid w:val="00B84E60"/>
    <w:rsid w:val="00BE76C3"/>
    <w:rsid w:val="00C04829"/>
    <w:rsid w:val="00C16E9F"/>
    <w:rsid w:val="00C22628"/>
    <w:rsid w:val="00C33B63"/>
    <w:rsid w:val="00C35AD0"/>
    <w:rsid w:val="00C63A8B"/>
    <w:rsid w:val="00C77DDA"/>
    <w:rsid w:val="00C82351"/>
    <w:rsid w:val="00C83DE2"/>
    <w:rsid w:val="00CA47CE"/>
    <w:rsid w:val="00CF4A3E"/>
    <w:rsid w:val="00CF793E"/>
    <w:rsid w:val="00D12C23"/>
    <w:rsid w:val="00D141B9"/>
    <w:rsid w:val="00D22D9F"/>
    <w:rsid w:val="00D2658B"/>
    <w:rsid w:val="00D431C4"/>
    <w:rsid w:val="00D542AC"/>
    <w:rsid w:val="00D644CF"/>
    <w:rsid w:val="00DC3DB3"/>
    <w:rsid w:val="00DF3154"/>
    <w:rsid w:val="00DF6EFA"/>
    <w:rsid w:val="00E26ED2"/>
    <w:rsid w:val="00E43E1A"/>
    <w:rsid w:val="00E4539D"/>
    <w:rsid w:val="00E45BC2"/>
    <w:rsid w:val="00E53989"/>
    <w:rsid w:val="00E90CDC"/>
    <w:rsid w:val="00E96729"/>
    <w:rsid w:val="00EB289F"/>
    <w:rsid w:val="00ED4A4F"/>
    <w:rsid w:val="00EE6ADB"/>
    <w:rsid w:val="00EF0993"/>
    <w:rsid w:val="00F0088A"/>
    <w:rsid w:val="00F05DC2"/>
    <w:rsid w:val="00F07F2A"/>
    <w:rsid w:val="00F12894"/>
    <w:rsid w:val="00F21649"/>
    <w:rsid w:val="00F24977"/>
    <w:rsid w:val="00F31033"/>
    <w:rsid w:val="00F34B64"/>
    <w:rsid w:val="00F41B64"/>
    <w:rsid w:val="00F51C6E"/>
    <w:rsid w:val="00F87900"/>
    <w:rsid w:val="00F90029"/>
    <w:rsid w:val="00F95E26"/>
    <w:rsid w:val="00FA7A2E"/>
    <w:rsid w:val="00FA7B90"/>
    <w:rsid w:val="00FC699A"/>
    <w:rsid w:val="00FE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56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141"/>
  </w:style>
  <w:style w:type="paragraph" w:styleId="1">
    <w:name w:val="heading 1"/>
    <w:basedOn w:val="a"/>
    <w:link w:val="10"/>
    <w:uiPriority w:val="9"/>
    <w:qFormat/>
    <w:rsid w:val="003259FA"/>
    <w:pPr>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tref,4_G,Footnotes refss,Footnote Refernece,callout,Footnote Reference Superscript,Footnote Reference Number,BVI fnr,Footnote number,Car Char Car Char Car Char Char Char Char Char Char Char Char,Footnote Refernece Char Char1"/>
    <w:basedOn w:val="a0"/>
    <w:link w:val="CarCharCarCharCarCharCharCharCharCharCharChar"/>
    <w:uiPriority w:val="99"/>
    <w:unhideWhenUsed/>
    <w:qFormat/>
    <w:rsid w:val="00607BB7"/>
    <w:rPr>
      <w:vertAlign w:val="superscript"/>
    </w:rPr>
  </w:style>
  <w:style w:type="character" w:styleId="a4">
    <w:name w:val="Hyperlink"/>
    <w:basedOn w:val="a0"/>
    <w:uiPriority w:val="99"/>
    <w:rsid w:val="00607BB7"/>
    <w:rPr>
      <w:color w:val="0000FF"/>
      <w:u w:val="single"/>
    </w:rPr>
  </w:style>
  <w:style w:type="paragraph" w:customStyle="1" w:styleId="CarCharCarCharCarCharCharCharCharCharCharChar">
    <w:name w:val="Car Char Car Char Car Char Char Char Char Char Char Char"/>
    <w:aliases w:val="Footnote Refernece Char,Footnote Refernece Char Char Char Char,Car Char Car Char Car Char Char Char Char Char Char,Footnote Refernece Char Char"/>
    <w:basedOn w:val="a"/>
    <w:link w:val="a3"/>
    <w:uiPriority w:val="99"/>
    <w:rsid w:val="00607BB7"/>
    <w:pPr>
      <w:autoSpaceDE w:val="0"/>
      <w:autoSpaceDN w:val="0"/>
      <w:spacing w:after="160" w:line="240" w:lineRule="exact"/>
      <w:jc w:val="both"/>
    </w:pPr>
    <w:rPr>
      <w:vertAlign w:val="superscript"/>
    </w:rPr>
  </w:style>
  <w:style w:type="paragraph" w:styleId="a5">
    <w:name w:val="footnote text"/>
    <w:aliases w:val="Char,Footnote Text1 Char,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5_G,Char Знак"/>
    <w:basedOn w:val="a"/>
    <w:link w:val="2"/>
    <w:uiPriority w:val="99"/>
    <w:unhideWhenUsed/>
    <w:rsid w:val="00E45BC2"/>
  </w:style>
  <w:style w:type="character" w:customStyle="1" w:styleId="2">
    <w:name w:val="Текст сноски Знак2"/>
    <w:aliases w:val="Char Знак1,Footnote Text1 Char Знак,Текст сноски Знак Знак,Текст сноски Знак Знак Знак Знак Знак Знак1,Текст сноски Знак Знак Знак Знак1 Знак Знак,Текст сноски Знак1 Знак,Текст сноски Знак Знак1 Знак,5_G Знак,Char Знак Знак"/>
    <w:basedOn w:val="a0"/>
    <w:link w:val="a5"/>
    <w:uiPriority w:val="99"/>
    <w:rsid w:val="00E45BC2"/>
  </w:style>
  <w:style w:type="paragraph" w:styleId="a6">
    <w:name w:val="List Paragraph"/>
    <w:basedOn w:val="a"/>
    <w:uiPriority w:val="34"/>
    <w:qFormat/>
    <w:rsid w:val="00ED4A4F"/>
    <w:pPr>
      <w:ind w:left="720"/>
      <w:contextualSpacing/>
    </w:pPr>
  </w:style>
  <w:style w:type="character" w:styleId="a7">
    <w:name w:val="FollowedHyperlink"/>
    <w:basedOn w:val="a0"/>
    <w:uiPriority w:val="99"/>
    <w:semiHidden/>
    <w:unhideWhenUsed/>
    <w:rsid w:val="003259FA"/>
    <w:rPr>
      <w:color w:val="954F72" w:themeColor="followedHyperlink"/>
      <w:u w:val="single"/>
    </w:rPr>
  </w:style>
  <w:style w:type="character" w:customStyle="1" w:styleId="10">
    <w:name w:val="Заголовок 1 Знак"/>
    <w:basedOn w:val="a0"/>
    <w:link w:val="1"/>
    <w:uiPriority w:val="9"/>
    <w:rsid w:val="003259FA"/>
    <w:rPr>
      <w:rFonts w:cs="Times New Roman"/>
      <w:b/>
      <w:bCs/>
      <w:kern w:val="36"/>
      <w:sz w:val="48"/>
      <w:szCs w:val="48"/>
    </w:rPr>
  </w:style>
  <w:style w:type="paragraph" w:styleId="a8">
    <w:name w:val="Normal (Web)"/>
    <w:basedOn w:val="a"/>
    <w:uiPriority w:val="99"/>
    <w:unhideWhenUsed/>
    <w:rsid w:val="00386772"/>
    <w:pPr>
      <w:spacing w:before="100" w:beforeAutospacing="1" w:after="100" w:afterAutospacing="1"/>
    </w:pPr>
    <w:rPr>
      <w:rFonts w:cs="Times New Roman"/>
    </w:rPr>
  </w:style>
  <w:style w:type="paragraph" w:styleId="a9">
    <w:name w:val="Balloon Text"/>
    <w:basedOn w:val="a"/>
    <w:link w:val="aa"/>
    <w:uiPriority w:val="99"/>
    <w:semiHidden/>
    <w:unhideWhenUsed/>
    <w:rsid w:val="00F51C6E"/>
    <w:rPr>
      <w:rFonts w:ascii="Tahoma" w:hAnsi="Tahoma" w:cs="Tahoma"/>
      <w:sz w:val="16"/>
      <w:szCs w:val="16"/>
    </w:rPr>
  </w:style>
  <w:style w:type="character" w:customStyle="1" w:styleId="aa">
    <w:name w:val="Текст выноски Знак"/>
    <w:basedOn w:val="a0"/>
    <w:link w:val="a9"/>
    <w:uiPriority w:val="99"/>
    <w:semiHidden/>
    <w:rsid w:val="00F51C6E"/>
    <w:rPr>
      <w:rFonts w:ascii="Tahoma" w:hAnsi="Tahoma" w:cs="Tahoma"/>
      <w:sz w:val="16"/>
      <w:szCs w:val="16"/>
    </w:rPr>
  </w:style>
  <w:style w:type="paragraph" w:styleId="ab">
    <w:name w:val="annotation text"/>
    <w:basedOn w:val="a"/>
    <w:link w:val="ac"/>
    <w:unhideWhenUsed/>
    <w:rPr>
      <w:sz w:val="20"/>
      <w:szCs w:val="20"/>
    </w:rPr>
  </w:style>
  <w:style w:type="character" w:customStyle="1" w:styleId="ac">
    <w:name w:val="Текст примечания Знак"/>
    <w:basedOn w:val="a0"/>
    <w:link w:val="ab"/>
    <w:rPr>
      <w:sz w:val="20"/>
      <w:szCs w:val="20"/>
    </w:rPr>
  </w:style>
  <w:style w:type="character" w:styleId="ad">
    <w:name w:val="annotation reference"/>
    <w:basedOn w:val="a0"/>
    <w:uiPriority w:val="99"/>
    <w:semiHidden/>
    <w:unhideWhenUsed/>
    <w:rPr>
      <w:sz w:val="16"/>
      <w:szCs w:val="16"/>
    </w:rPr>
  </w:style>
  <w:style w:type="paragraph" w:styleId="ae">
    <w:name w:val="endnote text"/>
    <w:basedOn w:val="a"/>
    <w:link w:val="af"/>
    <w:uiPriority w:val="99"/>
    <w:semiHidden/>
    <w:unhideWhenUsed/>
    <w:rsid w:val="002C2B05"/>
    <w:rPr>
      <w:rFonts w:asciiTheme="minorHAnsi" w:hAnsiTheme="minorHAnsi"/>
      <w:sz w:val="20"/>
      <w:szCs w:val="20"/>
      <w:lang w:val="en-CA"/>
    </w:rPr>
  </w:style>
  <w:style w:type="character" w:customStyle="1" w:styleId="af">
    <w:name w:val="Текст концевой сноски Знак"/>
    <w:basedOn w:val="a0"/>
    <w:link w:val="ae"/>
    <w:uiPriority w:val="99"/>
    <w:semiHidden/>
    <w:rsid w:val="002C2B05"/>
    <w:rPr>
      <w:rFonts w:asciiTheme="minorHAnsi" w:hAnsiTheme="minorHAnsi"/>
      <w:sz w:val="20"/>
      <w:szCs w:val="20"/>
      <w:lang w:val="en-CA"/>
    </w:rPr>
  </w:style>
  <w:style w:type="character" w:styleId="af0">
    <w:name w:val="endnote reference"/>
    <w:basedOn w:val="a0"/>
    <w:uiPriority w:val="99"/>
    <w:semiHidden/>
    <w:unhideWhenUsed/>
    <w:rsid w:val="002C2B05"/>
    <w:rPr>
      <w:vertAlign w:val="superscript"/>
    </w:rPr>
  </w:style>
  <w:style w:type="paragraph" w:styleId="af1">
    <w:name w:val="header"/>
    <w:basedOn w:val="a"/>
    <w:link w:val="af2"/>
    <w:uiPriority w:val="99"/>
    <w:unhideWhenUsed/>
    <w:rsid w:val="002F756D"/>
    <w:pPr>
      <w:tabs>
        <w:tab w:val="center" w:pos="4680"/>
        <w:tab w:val="right" w:pos="9360"/>
      </w:tabs>
    </w:pPr>
  </w:style>
  <w:style w:type="character" w:customStyle="1" w:styleId="af2">
    <w:name w:val="Верхний колонтитул Знак"/>
    <w:basedOn w:val="a0"/>
    <w:link w:val="af1"/>
    <w:uiPriority w:val="99"/>
    <w:rsid w:val="002F756D"/>
  </w:style>
  <w:style w:type="paragraph" w:styleId="af3">
    <w:name w:val="footer"/>
    <w:basedOn w:val="a"/>
    <w:link w:val="af4"/>
    <w:uiPriority w:val="99"/>
    <w:unhideWhenUsed/>
    <w:rsid w:val="002F756D"/>
    <w:pPr>
      <w:tabs>
        <w:tab w:val="center" w:pos="4680"/>
        <w:tab w:val="right" w:pos="9360"/>
      </w:tabs>
    </w:pPr>
  </w:style>
  <w:style w:type="character" w:customStyle="1" w:styleId="af4">
    <w:name w:val="Нижний колонтитул Знак"/>
    <w:basedOn w:val="a0"/>
    <w:link w:val="af3"/>
    <w:uiPriority w:val="99"/>
    <w:rsid w:val="002F756D"/>
  </w:style>
  <w:style w:type="paragraph" w:customStyle="1" w:styleId="p1">
    <w:name w:val="p1"/>
    <w:basedOn w:val="a"/>
    <w:rsid w:val="0080629F"/>
    <w:rPr>
      <w:rFonts w:ascii="Helvetica Neue" w:hAnsi="Helvetica Neue" w:cs="Times New Roman"/>
      <w:color w:val="454545"/>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3012">
      <w:bodyDiv w:val="1"/>
      <w:marLeft w:val="0"/>
      <w:marRight w:val="0"/>
      <w:marTop w:val="0"/>
      <w:marBottom w:val="0"/>
      <w:divBdr>
        <w:top w:val="none" w:sz="0" w:space="0" w:color="auto"/>
        <w:left w:val="none" w:sz="0" w:space="0" w:color="auto"/>
        <w:bottom w:val="none" w:sz="0" w:space="0" w:color="auto"/>
        <w:right w:val="none" w:sz="0" w:space="0" w:color="auto"/>
      </w:divBdr>
    </w:div>
    <w:div w:id="254753460">
      <w:bodyDiv w:val="1"/>
      <w:marLeft w:val="0"/>
      <w:marRight w:val="0"/>
      <w:marTop w:val="0"/>
      <w:marBottom w:val="0"/>
      <w:divBdr>
        <w:top w:val="none" w:sz="0" w:space="0" w:color="auto"/>
        <w:left w:val="none" w:sz="0" w:space="0" w:color="auto"/>
        <w:bottom w:val="none" w:sz="0" w:space="0" w:color="auto"/>
        <w:right w:val="none" w:sz="0" w:space="0" w:color="auto"/>
      </w:divBdr>
    </w:div>
    <w:div w:id="337346534">
      <w:bodyDiv w:val="1"/>
      <w:marLeft w:val="0"/>
      <w:marRight w:val="0"/>
      <w:marTop w:val="0"/>
      <w:marBottom w:val="0"/>
      <w:divBdr>
        <w:top w:val="none" w:sz="0" w:space="0" w:color="auto"/>
        <w:left w:val="none" w:sz="0" w:space="0" w:color="auto"/>
        <w:bottom w:val="none" w:sz="0" w:space="0" w:color="auto"/>
        <w:right w:val="none" w:sz="0" w:space="0" w:color="auto"/>
      </w:divBdr>
    </w:div>
    <w:div w:id="354230856">
      <w:bodyDiv w:val="1"/>
      <w:marLeft w:val="0"/>
      <w:marRight w:val="0"/>
      <w:marTop w:val="0"/>
      <w:marBottom w:val="0"/>
      <w:divBdr>
        <w:top w:val="none" w:sz="0" w:space="0" w:color="auto"/>
        <w:left w:val="none" w:sz="0" w:space="0" w:color="auto"/>
        <w:bottom w:val="none" w:sz="0" w:space="0" w:color="auto"/>
        <w:right w:val="none" w:sz="0" w:space="0" w:color="auto"/>
      </w:divBdr>
    </w:div>
    <w:div w:id="611985493">
      <w:bodyDiv w:val="1"/>
      <w:marLeft w:val="0"/>
      <w:marRight w:val="0"/>
      <w:marTop w:val="0"/>
      <w:marBottom w:val="0"/>
      <w:divBdr>
        <w:top w:val="none" w:sz="0" w:space="0" w:color="auto"/>
        <w:left w:val="none" w:sz="0" w:space="0" w:color="auto"/>
        <w:bottom w:val="none" w:sz="0" w:space="0" w:color="auto"/>
        <w:right w:val="none" w:sz="0" w:space="0" w:color="auto"/>
      </w:divBdr>
    </w:div>
    <w:div w:id="630400549">
      <w:bodyDiv w:val="1"/>
      <w:marLeft w:val="0"/>
      <w:marRight w:val="0"/>
      <w:marTop w:val="0"/>
      <w:marBottom w:val="0"/>
      <w:divBdr>
        <w:top w:val="none" w:sz="0" w:space="0" w:color="auto"/>
        <w:left w:val="none" w:sz="0" w:space="0" w:color="auto"/>
        <w:bottom w:val="none" w:sz="0" w:space="0" w:color="auto"/>
        <w:right w:val="none" w:sz="0" w:space="0" w:color="auto"/>
      </w:divBdr>
    </w:div>
    <w:div w:id="803040454">
      <w:bodyDiv w:val="1"/>
      <w:marLeft w:val="0"/>
      <w:marRight w:val="0"/>
      <w:marTop w:val="0"/>
      <w:marBottom w:val="0"/>
      <w:divBdr>
        <w:top w:val="none" w:sz="0" w:space="0" w:color="auto"/>
        <w:left w:val="none" w:sz="0" w:space="0" w:color="auto"/>
        <w:bottom w:val="none" w:sz="0" w:space="0" w:color="auto"/>
        <w:right w:val="none" w:sz="0" w:space="0" w:color="auto"/>
      </w:divBdr>
    </w:div>
    <w:div w:id="821700636">
      <w:bodyDiv w:val="1"/>
      <w:marLeft w:val="0"/>
      <w:marRight w:val="0"/>
      <w:marTop w:val="0"/>
      <w:marBottom w:val="0"/>
      <w:divBdr>
        <w:top w:val="none" w:sz="0" w:space="0" w:color="auto"/>
        <w:left w:val="none" w:sz="0" w:space="0" w:color="auto"/>
        <w:bottom w:val="none" w:sz="0" w:space="0" w:color="auto"/>
        <w:right w:val="none" w:sz="0" w:space="0" w:color="auto"/>
      </w:divBdr>
    </w:div>
    <w:div w:id="916212259">
      <w:bodyDiv w:val="1"/>
      <w:marLeft w:val="0"/>
      <w:marRight w:val="0"/>
      <w:marTop w:val="0"/>
      <w:marBottom w:val="0"/>
      <w:divBdr>
        <w:top w:val="none" w:sz="0" w:space="0" w:color="auto"/>
        <w:left w:val="none" w:sz="0" w:space="0" w:color="auto"/>
        <w:bottom w:val="none" w:sz="0" w:space="0" w:color="auto"/>
        <w:right w:val="none" w:sz="0" w:space="0" w:color="auto"/>
      </w:divBdr>
    </w:div>
    <w:div w:id="1021711312">
      <w:bodyDiv w:val="1"/>
      <w:marLeft w:val="0"/>
      <w:marRight w:val="0"/>
      <w:marTop w:val="0"/>
      <w:marBottom w:val="0"/>
      <w:divBdr>
        <w:top w:val="none" w:sz="0" w:space="0" w:color="auto"/>
        <w:left w:val="none" w:sz="0" w:space="0" w:color="auto"/>
        <w:bottom w:val="none" w:sz="0" w:space="0" w:color="auto"/>
        <w:right w:val="none" w:sz="0" w:space="0" w:color="auto"/>
      </w:divBdr>
    </w:div>
    <w:div w:id="1068696871">
      <w:bodyDiv w:val="1"/>
      <w:marLeft w:val="0"/>
      <w:marRight w:val="0"/>
      <w:marTop w:val="0"/>
      <w:marBottom w:val="0"/>
      <w:divBdr>
        <w:top w:val="none" w:sz="0" w:space="0" w:color="auto"/>
        <w:left w:val="none" w:sz="0" w:space="0" w:color="auto"/>
        <w:bottom w:val="none" w:sz="0" w:space="0" w:color="auto"/>
        <w:right w:val="none" w:sz="0" w:space="0" w:color="auto"/>
      </w:divBdr>
    </w:div>
    <w:div w:id="1091586571">
      <w:bodyDiv w:val="1"/>
      <w:marLeft w:val="0"/>
      <w:marRight w:val="0"/>
      <w:marTop w:val="0"/>
      <w:marBottom w:val="0"/>
      <w:divBdr>
        <w:top w:val="none" w:sz="0" w:space="0" w:color="auto"/>
        <w:left w:val="none" w:sz="0" w:space="0" w:color="auto"/>
        <w:bottom w:val="none" w:sz="0" w:space="0" w:color="auto"/>
        <w:right w:val="none" w:sz="0" w:space="0" w:color="auto"/>
      </w:divBdr>
    </w:div>
    <w:div w:id="1189442050">
      <w:bodyDiv w:val="1"/>
      <w:marLeft w:val="0"/>
      <w:marRight w:val="0"/>
      <w:marTop w:val="0"/>
      <w:marBottom w:val="0"/>
      <w:divBdr>
        <w:top w:val="none" w:sz="0" w:space="0" w:color="auto"/>
        <w:left w:val="none" w:sz="0" w:space="0" w:color="auto"/>
        <w:bottom w:val="none" w:sz="0" w:space="0" w:color="auto"/>
        <w:right w:val="none" w:sz="0" w:space="0" w:color="auto"/>
      </w:divBdr>
    </w:div>
    <w:div w:id="1340545469">
      <w:bodyDiv w:val="1"/>
      <w:marLeft w:val="0"/>
      <w:marRight w:val="0"/>
      <w:marTop w:val="0"/>
      <w:marBottom w:val="0"/>
      <w:divBdr>
        <w:top w:val="none" w:sz="0" w:space="0" w:color="auto"/>
        <w:left w:val="none" w:sz="0" w:space="0" w:color="auto"/>
        <w:bottom w:val="none" w:sz="0" w:space="0" w:color="auto"/>
        <w:right w:val="none" w:sz="0" w:space="0" w:color="auto"/>
      </w:divBdr>
    </w:div>
    <w:div w:id="1388140249">
      <w:bodyDiv w:val="1"/>
      <w:marLeft w:val="0"/>
      <w:marRight w:val="0"/>
      <w:marTop w:val="0"/>
      <w:marBottom w:val="0"/>
      <w:divBdr>
        <w:top w:val="none" w:sz="0" w:space="0" w:color="auto"/>
        <w:left w:val="none" w:sz="0" w:space="0" w:color="auto"/>
        <w:bottom w:val="none" w:sz="0" w:space="0" w:color="auto"/>
        <w:right w:val="none" w:sz="0" w:space="0" w:color="auto"/>
      </w:divBdr>
    </w:div>
    <w:div w:id="1430390798">
      <w:bodyDiv w:val="1"/>
      <w:marLeft w:val="0"/>
      <w:marRight w:val="0"/>
      <w:marTop w:val="0"/>
      <w:marBottom w:val="0"/>
      <w:divBdr>
        <w:top w:val="none" w:sz="0" w:space="0" w:color="auto"/>
        <w:left w:val="none" w:sz="0" w:space="0" w:color="auto"/>
        <w:bottom w:val="none" w:sz="0" w:space="0" w:color="auto"/>
        <w:right w:val="none" w:sz="0" w:space="0" w:color="auto"/>
      </w:divBdr>
    </w:div>
    <w:div w:id="1503817202">
      <w:bodyDiv w:val="1"/>
      <w:marLeft w:val="0"/>
      <w:marRight w:val="0"/>
      <w:marTop w:val="0"/>
      <w:marBottom w:val="0"/>
      <w:divBdr>
        <w:top w:val="none" w:sz="0" w:space="0" w:color="auto"/>
        <w:left w:val="none" w:sz="0" w:space="0" w:color="auto"/>
        <w:bottom w:val="none" w:sz="0" w:space="0" w:color="auto"/>
        <w:right w:val="none" w:sz="0" w:space="0" w:color="auto"/>
      </w:divBdr>
    </w:div>
    <w:div w:id="1544635486">
      <w:bodyDiv w:val="1"/>
      <w:marLeft w:val="0"/>
      <w:marRight w:val="0"/>
      <w:marTop w:val="0"/>
      <w:marBottom w:val="0"/>
      <w:divBdr>
        <w:top w:val="none" w:sz="0" w:space="0" w:color="auto"/>
        <w:left w:val="none" w:sz="0" w:space="0" w:color="auto"/>
        <w:bottom w:val="none" w:sz="0" w:space="0" w:color="auto"/>
        <w:right w:val="none" w:sz="0" w:space="0" w:color="auto"/>
      </w:divBdr>
    </w:div>
    <w:div w:id="1551653160">
      <w:bodyDiv w:val="1"/>
      <w:marLeft w:val="0"/>
      <w:marRight w:val="0"/>
      <w:marTop w:val="0"/>
      <w:marBottom w:val="0"/>
      <w:divBdr>
        <w:top w:val="none" w:sz="0" w:space="0" w:color="auto"/>
        <w:left w:val="none" w:sz="0" w:space="0" w:color="auto"/>
        <w:bottom w:val="none" w:sz="0" w:space="0" w:color="auto"/>
        <w:right w:val="none" w:sz="0" w:space="0" w:color="auto"/>
      </w:divBdr>
    </w:div>
    <w:div w:id="1600791696">
      <w:bodyDiv w:val="1"/>
      <w:marLeft w:val="0"/>
      <w:marRight w:val="0"/>
      <w:marTop w:val="0"/>
      <w:marBottom w:val="0"/>
      <w:divBdr>
        <w:top w:val="none" w:sz="0" w:space="0" w:color="auto"/>
        <w:left w:val="none" w:sz="0" w:space="0" w:color="auto"/>
        <w:bottom w:val="none" w:sz="0" w:space="0" w:color="auto"/>
        <w:right w:val="none" w:sz="0" w:space="0" w:color="auto"/>
      </w:divBdr>
    </w:div>
    <w:div w:id="1628656533">
      <w:bodyDiv w:val="1"/>
      <w:marLeft w:val="0"/>
      <w:marRight w:val="0"/>
      <w:marTop w:val="0"/>
      <w:marBottom w:val="0"/>
      <w:divBdr>
        <w:top w:val="none" w:sz="0" w:space="0" w:color="auto"/>
        <w:left w:val="none" w:sz="0" w:space="0" w:color="auto"/>
        <w:bottom w:val="none" w:sz="0" w:space="0" w:color="auto"/>
        <w:right w:val="none" w:sz="0" w:space="0" w:color="auto"/>
      </w:divBdr>
    </w:div>
    <w:div w:id="1640569614">
      <w:bodyDiv w:val="1"/>
      <w:marLeft w:val="0"/>
      <w:marRight w:val="0"/>
      <w:marTop w:val="0"/>
      <w:marBottom w:val="0"/>
      <w:divBdr>
        <w:top w:val="none" w:sz="0" w:space="0" w:color="auto"/>
        <w:left w:val="none" w:sz="0" w:space="0" w:color="auto"/>
        <w:bottom w:val="none" w:sz="0" w:space="0" w:color="auto"/>
        <w:right w:val="none" w:sz="0" w:space="0" w:color="auto"/>
      </w:divBdr>
    </w:div>
    <w:div w:id="1654599334">
      <w:bodyDiv w:val="1"/>
      <w:marLeft w:val="0"/>
      <w:marRight w:val="0"/>
      <w:marTop w:val="0"/>
      <w:marBottom w:val="0"/>
      <w:divBdr>
        <w:top w:val="none" w:sz="0" w:space="0" w:color="auto"/>
        <w:left w:val="none" w:sz="0" w:space="0" w:color="auto"/>
        <w:bottom w:val="none" w:sz="0" w:space="0" w:color="auto"/>
        <w:right w:val="none" w:sz="0" w:space="0" w:color="auto"/>
      </w:divBdr>
    </w:div>
    <w:div w:id="1667395478">
      <w:bodyDiv w:val="1"/>
      <w:marLeft w:val="0"/>
      <w:marRight w:val="0"/>
      <w:marTop w:val="0"/>
      <w:marBottom w:val="0"/>
      <w:divBdr>
        <w:top w:val="none" w:sz="0" w:space="0" w:color="auto"/>
        <w:left w:val="none" w:sz="0" w:space="0" w:color="auto"/>
        <w:bottom w:val="none" w:sz="0" w:space="0" w:color="auto"/>
        <w:right w:val="none" w:sz="0" w:space="0" w:color="auto"/>
      </w:divBdr>
    </w:div>
    <w:div w:id="1676301194">
      <w:bodyDiv w:val="1"/>
      <w:marLeft w:val="0"/>
      <w:marRight w:val="0"/>
      <w:marTop w:val="0"/>
      <w:marBottom w:val="0"/>
      <w:divBdr>
        <w:top w:val="none" w:sz="0" w:space="0" w:color="auto"/>
        <w:left w:val="none" w:sz="0" w:space="0" w:color="auto"/>
        <w:bottom w:val="none" w:sz="0" w:space="0" w:color="auto"/>
        <w:right w:val="none" w:sz="0" w:space="0" w:color="auto"/>
      </w:divBdr>
    </w:div>
    <w:div w:id="1773012614">
      <w:bodyDiv w:val="1"/>
      <w:marLeft w:val="0"/>
      <w:marRight w:val="0"/>
      <w:marTop w:val="0"/>
      <w:marBottom w:val="0"/>
      <w:divBdr>
        <w:top w:val="none" w:sz="0" w:space="0" w:color="auto"/>
        <w:left w:val="none" w:sz="0" w:space="0" w:color="auto"/>
        <w:bottom w:val="none" w:sz="0" w:space="0" w:color="auto"/>
        <w:right w:val="none" w:sz="0" w:space="0" w:color="auto"/>
      </w:divBdr>
    </w:div>
    <w:div w:id="1832330540">
      <w:bodyDiv w:val="1"/>
      <w:marLeft w:val="0"/>
      <w:marRight w:val="0"/>
      <w:marTop w:val="0"/>
      <w:marBottom w:val="0"/>
      <w:divBdr>
        <w:top w:val="none" w:sz="0" w:space="0" w:color="auto"/>
        <w:left w:val="none" w:sz="0" w:space="0" w:color="auto"/>
        <w:bottom w:val="none" w:sz="0" w:space="0" w:color="auto"/>
        <w:right w:val="none" w:sz="0" w:space="0" w:color="auto"/>
      </w:divBdr>
    </w:div>
    <w:div w:id="1860897766">
      <w:bodyDiv w:val="1"/>
      <w:marLeft w:val="0"/>
      <w:marRight w:val="0"/>
      <w:marTop w:val="0"/>
      <w:marBottom w:val="0"/>
      <w:divBdr>
        <w:top w:val="none" w:sz="0" w:space="0" w:color="auto"/>
        <w:left w:val="none" w:sz="0" w:space="0" w:color="auto"/>
        <w:bottom w:val="none" w:sz="0" w:space="0" w:color="auto"/>
        <w:right w:val="none" w:sz="0" w:space="0" w:color="auto"/>
      </w:divBdr>
    </w:div>
    <w:div w:id="1864589188">
      <w:bodyDiv w:val="1"/>
      <w:marLeft w:val="0"/>
      <w:marRight w:val="0"/>
      <w:marTop w:val="0"/>
      <w:marBottom w:val="0"/>
      <w:divBdr>
        <w:top w:val="none" w:sz="0" w:space="0" w:color="auto"/>
        <w:left w:val="none" w:sz="0" w:space="0" w:color="auto"/>
        <w:bottom w:val="none" w:sz="0" w:space="0" w:color="auto"/>
        <w:right w:val="none" w:sz="0" w:space="0" w:color="auto"/>
      </w:divBdr>
    </w:div>
    <w:div w:id="1913275409">
      <w:bodyDiv w:val="1"/>
      <w:marLeft w:val="0"/>
      <w:marRight w:val="0"/>
      <w:marTop w:val="0"/>
      <w:marBottom w:val="0"/>
      <w:divBdr>
        <w:top w:val="none" w:sz="0" w:space="0" w:color="auto"/>
        <w:left w:val="none" w:sz="0" w:space="0" w:color="auto"/>
        <w:bottom w:val="none" w:sz="0" w:space="0" w:color="auto"/>
        <w:right w:val="none" w:sz="0" w:space="0" w:color="auto"/>
      </w:divBdr>
    </w:div>
    <w:div w:id="1915967733">
      <w:bodyDiv w:val="1"/>
      <w:marLeft w:val="0"/>
      <w:marRight w:val="0"/>
      <w:marTop w:val="0"/>
      <w:marBottom w:val="0"/>
      <w:divBdr>
        <w:top w:val="none" w:sz="0" w:space="0" w:color="auto"/>
        <w:left w:val="none" w:sz="0" w:space="0" w:color="auto"/>
        <w:bottom w:val="none" w:sz="0" w:space="0" w:color="auto"/>
        <w:right w:val="none" w:sz="0" w:space="0" w:color="auto"/>
      </w:divBdr>
    </w:div>
    <w:div w:id="1952396785">
      <w:bodyDiv w:val="1"/>
      <w:marLeft w:val="0"/>
      <w:marRight w:val="0"/>
      <w:marTop w:val="0"/>
      <w:marBottom w:val="0"/>
      <w:divBdr>
        <w:top w:val="none" w:sz="0" w:space="0" w:color="auto"/>
        <w:left w:val="none" w:sz="0" w:space="0" w:color="auto"/>
        <w:bottom w:val="none" w:sz="0" w:space="0" w:color="auto"/>
        <w:right w:val="none" w:sz="0" w:space="0" w:color="auto"/>
      </w:divBdr>
    </w:div>
    <w:div w:id="1983267352">
      <w:bodyDiv w:val="1"/>
      <w:marLeft w:val="0"/>
      <w:marRight w:val="0"/>
      <w:marTop w:val="0"/>
      <w:marBottom w:val="0"/>
      <w:divBdr>
        <w:top w:val="none" w:sz="0" w:space="0" w:color="auto"/>
        <w:left w:val="none" w:sz="0" w:space="0" w:color="auto"/>
        <w:bottom w:val="none" w:sz="0" w:space="0" w:color="auto"/>
        <w:right w:val="none" w:sz="0" w:space="0" w:color="auto"/>
      </w:divBdr>
    </w:div>
    <w:div w:id="2080054170">
      <w:bodyDiv w:val="1"/>
      <w:marLeft w:val="0"/>
      <w:marRight w:val="0"/>
      <w:marTop w:val="0"/>
      <w:marBottom w:val="0"/>
      <w:divBdr>
        <w:top w:val="none" w:sz="0" w:space="0" w:color="auto"/>
        <w:left w:val="none" w:sz="0" w:space="0" w:color="auto"/>
        <w:bottom w:val="none" w:sz="0" w:space="0" w:color="auto"/>
        <w:right w:val="none" w:sz="0" w:space="0" w:color="auto"/>
      </w:divBdr>
    </w:div>
    <w:div w:id="2083403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1" Type="http://schemas.openxmlformats.org/officeDocument/2006/relationships/hyperlink" Target="https://www.ncbi.nlm.nih.gov/books/NBK62461/"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yperlink" Target="http://www.thelancet.com/journals/lanhiv/issue/vol4no3/PIIS2352-3018(17)X0003-9" TargetMode="External"/><Relationship Id="rId19" Type="http://schemas.openxmlformats.org/officeDocument/2006/relationships/hyperlink" Target="http://tbinternet.ohchr.org/Treaties/CESCR/Shared%20Documents/RUS/INT_CESCR_CSS_RUS_28824_E.pdf" TargetMode="External"/><Relationship Id="rId1" Type="http://schemas.openxmlformats.org/officeDocument/2006/relationships/hyperlink" Target="http://www.aidsmap.com/Nearly-two-thirds-of-European-HIV-cases-are-now-in-Russia/page/3109895/" TargetMode="External"/><Relationship Id="rId2" Type="http://schemas.openxmlformats.org/officeDocument/2006/relationships/hyperlink" Target="https://spid.center/articles/1420" TargetMode="External"/><Relationship Id="rId3" Type="http://schemas.openxmlformats.org/officeDocument/2006/relationships/hyperlink" Target="http://mednet.ru/images/stories/files/CMT/2016tb.pdf" TargetMode="External"/><Relationship Id="rId4" Type="http://schemas.openxmlformats.org/officeDocument/2006/relationships/hyperlink" Target="http://apps.who.int/iris/bitstream/10665/250441/1/9789241565394-eng.pdf?ua=1" TargetMode="External"/><Relationship Id="rId5" Type="http://schemas.openxmlformats.org/officeDocument/2006/relationships/hyperlink" Target="http://apps.who.int/iris/bitstream/10665/250441/1/9789241565394-eng.pdf?ua=1" TargetMode="External"/><Relationship Id="rId6" Type="http://schemas.openxmlformats.org/officeDocument/2006/relationships/hyperlink" Target="http://apps.who.int/iris/bitstream/10665/250441/1/9789241565394-eng.pdf?ua=1" TargetMode="External"/><Relationship Id="rId7" Type="http://schemas.openxmlformats.org/officeDocument/2006/relationships/hyperlink" Target="http://www.cnn.com/2017/06/06/health/russia-hiv-epidemic/index.html" TargetMode="External"/><Relationship Id="rId8" Type="http://schemas.openxmlformats.org/officeDocument/2006/relationships/hyperlink" Target="http://www.ncbi.nlm.nih.gov/pubmed/26933992" TargetMode="External"/><Relationship Id="rId9" Type="http://schemas.openxmlformats.org/officeDocument/2006/relationships/hyperlink" Target="http://www.bmj.com/content/353/bmj.i2943" TargetMode="External"/><Relationship Id="rId10" Type="http://schemas.openxmlformats.org/officeDocument/2006/relationships/hyperlink" Target="http://www.ncbi.nlm.nih.gov/pubmed/26933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5648-887A-384C-B8CA-A466028C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3338</Words>
  <Characters>19032</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Botashev</dc:creator>
  <cp:lastModifiedBy>Ирина Маслова</cp:lastModifiedBy>
  <cp:revision>2</cp:revision>
  <dcterms:created xsi:type="dcterms:W3CDTF">2017-10-06T16:46:00Z</dcterms:created>
  <dcterms:modified xsi:type="dcterms:W3CDTF">2017-10-06T16:46:00Z</dcterms:modified>
</cp:coreProperties>
</file>